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A284C00" w14:textId="12A6F97E" w:rsidR="00A128DD" w:rsidRDefault="00000000">
      <w:pPr>
        <w:spacing w:after="240"/>
        <w:jc w:val="center"/>
      </w:pPr>
      <w:r>
        <w:rPr>
          <w:b/>
          <w:highlight w:val="yellow"/>
        </w:rPr>
        <w:t>[COMPANY NAME]</w:t>
      </w:r>
    </w:p>
    <w:p w14:paraId="66F85AB7" w14:textId="4DA8A2DE" w:rsidR="00A128DD" w:rsidRDefault="00EF09D5">
      <w:pPr>
        <w:spacing w:after="0"/>
        <w:jc w:val="center"/>
      </w:pPr>
      <w:r>
        <w:rPr>
          <w:b/>
          <w:bCs/>
        </w:rPr>
        <w:t>GATEWAY X - PROFIT Agreement</w:t>
      </w:r>
    </w:p>
    <w:p w14:paraId="6E6AAAE2" w14:textId="44BFB262" w:rsidR="00280528" w:rsidRDefault="00280528" w:rsidP="00280528">
      <w:pPr>
        <w:spacing w:after="360"/>
        <w:jc w:val="center"/>
        <w:rPr>
          <w:b/>
          <w:bCs/>
        </w:rPr>
      </w:pPr>
      <w:r>
        <w:rPr>
          <w:b/>
          <w:bCs/>
        </w:rPr>
        <w:t>(Preferred Round for Ownership, Freedom, Independence &amp; Traction)</w:t>
      </w:r>
    </w:p>
    <w:p w14:paraId="767254FD" w14:textId="0686A78C" w:rsidR="00A128DD" w:rsidRPr="00EF09D5" w:rsidRDefault="00000000">
      <w:pPr>
        <w:ind w:firstLine="720"/>
        <w:jc w:val="both"/>
      </w:pPr>
      <w:r>
        <w:t xml:space="preserve">This PROFIT Agreement (this </w:t>
      </w:r>
      <w:r>
        <w:rPr>
          <w:b/>
          <w:bCs/>
        </w:rPr>
        <w:t>“Agreement”</w:t>
      </w:r>
      <w:r>
        <w:t xml:space="preserve">) is dated as of </w:t>
      </w:r>
      <w:r>
        <w:rPr>
          <w:highlight w:val="yellow"/>
        </w:rPr>
        <w:t>[______]</w:t>
      </w:r>
      <w:r>
        <w:t xml:space="preserve"> (the “</w:t>
      </w:r>
      <w:r>
        <w:rPr>
          <w:b/>
          <w:bCs/>
        </w:rPr>
        <w:t>Agreement Date</w:t>
      </w:r>
      <w:r>
        <w:t xml:space="preserve">” and is among </w:t>
      </w:r>
      <w:r>
        <w:rPr>
          <w:highlight w:val="yellow"/>
        </w:rPr>
        <w:t>[_________]</w:t>
      </w:r>
      <w:r>
        <w:t xml:space="preserve">, a [Delaware] corporation (the </w:t>
      </w:r>
      <w:r>
        <w:rPr>
          <w:b/>
          <w:bCs/>
        </w:rPr>
        <w:t>“Company”</w:t>
      </w:r>
      <w:r>
        <w:t>), GX Expedition Fund I LP (“</w:t>
      </w:r>
      <w:r>
        <w:rPr>
          <w:b/>
          <w:bCs/>
        </w:rPr>
        <w:t>Gateway</w:t>
      </w:r>
      <w:r>
        <w:t xml:space="preserve"> </w:t>
      </w:r>
      <w:r>
        <w:rPr>
          <w:b/>
          <w:bCs/>
        </w:rPr>
        <w:t>X</w:t>
      </w:r>
      <w:r>
        <w:t>” or “</w:t>
      </w:r>
      <w:r>
        <w:rPr>
          <w:b/>
          <w:bCs/>
        </w:rPr>
        <w:t>GX</w:t>
      </w:r>
      <w:r>
        <w:t xml:space="preserve">”), and the other investors listed on </w:t>
      </w:r>
      <w:r>
        <w:rPr>
          <w:u w:val="single"/>
        </w:rPr>
        <w:t>Exhibit A</w:t>
      </w:r>
      <w:r>
        <w:t xml:space="preserve">, if any (each an </w:t>
      </w:r>
      <w:r>
        <w:rPr>
          <w:b/>
          <w:bCs/>
        </w:rPr>
        <w:t>“Investor”</w:t>
      </w:r>
      <w:r>
        <w:t xml:space="preserve">), and the founders listed on </w:t>
      </w:r>
      <w:r>
        <w:rPr>
          <w:u w:val="single"/>
        </w:rPr>
        <w:t>Exhibit B</w:t>
      </w:r>
      <w:r>
        <w:t xml:space="preserve"> (each a </w:t>
      </w:r>
      <w:r>
        <w:rPr>
          <w:b/>
          <w:bCs/>
        </w:rPr>
        <w:t>“Key Holder”</w:t>
      </w:r>
      <w:r>
        <w:t>). The parties agree as follows.</w:t>
      </w:r>
    </w:p>
    <w:p w14:paraId="1B336234" w14:textId="77777777" w:rsidR="00A128DD" w:rsidRDefault="00000000">
      <w:pPr>
        <w:pStyle w:val="ListParagraph"/>
        <w:numPr>
          <w:ilvl w:val="0"/>
          <w:numId w:val="2"/>
        </w:numPr>
        <w:jc w:val="both"/>
      </w:pPr>
      <w:r>
        <w:rPr>
          <w:u w:val="single"/>
        </w:rPr>
        <w:t>Definitions.</w:t>
      </w:r>
    </w:p>
    <w:p w14:paraId="1D4B14C6" w14:textId="77777777" w:rsidR="00A128DD" w:rsidRDefault="00000000" w:rsidP="00B7160B">
      <w:pPr>
        <w:pStyle w:val="ListParagraph"/>
        <w:numPr>
          <w:ilvl w:val="1"/>
          <w:numId w:val="2"/>
        </w:numPr>
        <w:spacing w:after="120"/>
        <w:jc w:val="both"/>
      </w:pPr>
      <w:r>
        <w:rPr>
          <w:u w:val="single"/>
        </w:rPr>
        <w:t>Defined terms.</w:t>
      </w:r>
      <w:r>
        <w:t xml:space="preserve">  The terms below have the meanings given here. A term that is defined in the Charter and not defined here has the meaning given in the Charter.</w:t>
      </w:r>
    </w:p>
    <w:p w14:paraId="6468A607" w14:textId="0D28E28A" w:rsidR="00A128DD" w:rsidRDefault="00000000" w:rsidP="00B7160B">
      <w:pPr>
        <w:pStyle w:val="ListParagraph"/>
        <w:numPr>
          <w:ilvl w:val="2"/>
          <w:numId w:val="2"/>
        </w:numPr>
        <w:spacing w:after="120"/>
        <w:jc w:val="both"/>
      </w:pPr>
      <w:r>
        <w:rPr>
          <w:b/>
          <w:bCs/>
        </w:rPr>
        <w:t>“Additional Closing”</w:t>
      </w:r>
      <w:r>
        <w:t xml:space="preserve"> means a closing of the sale of Shares after the Initial Closing, held during the Additional Closing Period under </w:t>
      </w:r>
      <w:r>
        <w:rPr>
          <w:u w:val="single"/>
        </w:rPr>
        <w:t xml:space="preserve">Section </w:t>
      </w:r>
      <w:r>
        <w:rPr>
          <w:u w:val="single"/>
        </w:rPr>
        <w:fldChar w:fldCharType="begin"/>
      </w:r>
      <w:r>
        <w:rPr>
          <w:u w:val="single"/>
        </w:rPr>
        <w:instrText xml:space="preserve"> REF _Ref239080064 \r \h  \* MERGEFORMAT </w:instrText>
      </w:r>
      <w:r>
        <w:rPr>
          <w:u w:val="single"/>
        </w:rPr>
      </w:r>
      <w:r>
        <w:rPr>
          <w:u w:val="single"/>
        </w:rPr>
        <w:fldChar w:fldCharType="separate"/>
      </w:r>
      <w:r w:rsidR="005E349C">
        <w:rPr>
          <w:u w:val="single"/>
        </w:rPr>
        <w:t>2.4</w:t>
      </w:r>
      <w:r>
        <w:rPr>
          <w:u w:val="single"/>
        </w:rPr>
        <w:fldChar w:fldCharType="end"/>
      </w:r>
      <w:r>
        <w:t>.</w:t>
      </w:r>
    </w:p>
    <w:p w14:paraId="4062209A" w14:textId="45A41F1E" w:rsidR="005C703E" w:rsidRDefault="005C703E" w:rsidP="00B7160B">
      <w:pPr>
        <w:pStyle w:val="ListParagraph"/>
        <w:numPr>
          <w:ilvl w:val="2"/>
          <w:numId w:val="2"/>
        </w:numPr>
        <w:spacing w:after="120"/>
        <w:jc w:val="both"/>
      </w:pPr>
      <w:r>
        <w:rPr>
          <w:b/>
          <w:bCs/>
        </w:rPr>
        <w:t>“Affiliate”</w:t>
      </w:r>
      <w:r>
        <w:t xml:space="preserve"> means</w:t>
      </w:r>
      <w:r>
        <w:rPr>
          <w:lang w:val="en-GB"/>
        </w:rPr>
        <w:t>, with respect to any person, any other person that, directly or indirectly through one or more intermediaries, either controls, is controlled by, or is under common control with such person.</w:t>
      </w:r>
    </w:p>
    <w:p w14:paraId="1DB639EE" w14:textId="77777777" w:rsidR="00A128DD" w:rsidRDefault="00000000" w:rsidP="00B7160B">
      <w:pPr>
        <w:pStyle w:val="ListParagraph"/>
        <w:numPr>
          <w:ilvl w:val="2"/>
          <w:numId w:val="2"/>
        </w:numPr>
        <w:spacing w:after="120"/>
        <w:jc w:val="both"/>
      </w:pPr>
      <w:r>
        <w:rPr>
          <w:b/>
          <w:bCs/>
        </w:rPr>
        <w:t>“Board”</w:t>
      </w:r>
      <w:r>
        <w:t xml:space="preserve"> means the Company’s board of directors.</w:t>
      </w:r>
    </w:p>
    <w:p w14:paraId="72D91BB3" w14:textId="18D5A9BB" w:rsidR="00A128DD" w:rsidRDefault="00000000" w:rsidP="00B7160B">
      <w:pPr>
        <w:pStyle w:val="ListParagraph"/>
        <w:numPr>
          <w:ilvl w:val="2"/>
          <w:numId w:val="2"/>
        </w:numPr>
        <w:spacing w:after="120"/>
        <w:jc w:val="both"/>
      </w:pPr>
      <w:r>
        <w:rPr>
          <w:b/>
          <w:bCs/>
        </w:rPr>
        <w:t>“Charter”</w:t>
      </w:r>
      <w:r>
        <w:t xml:space="preserve"> means the Company’s Amended and Restated Certificate of Incorporation in substantially the form attached as </w:t>
      </w:r>
      <w:r>
        <w:rPr>
          <w:u w:val="single"/>
        </w:rPr>
        <w:t>Exhibit D</w:t>
      </w:r>
      <w:r>
        <w:t>, as it is later amended or restated.</w:t>
      </w:r>
    </w:p>
    <w:p w14:paraId="0E08A3BB" w14:textId="77777777" w:rsidR="00A128DD" w:rsidRDefault="00000000" w:rsidP="00B7160B">
      <w:pPr>
        <w:pStyle w:val="ListParagraph"/>
        <w:numPr>
          <w:ilvl w:val="2"/>
          <w:numId w:val="2"/>
        </w:numPr>
        <w:spacing w:after="120"/>
        <w:jc w:val="both"/>
      </w:pPr>
      <w:r>
        <w:rPr>
          <w:b/>
          <w:bCs/>
        </w:rPr>
        <w:t>“Closing”</w:t>
      </w:r>
      <w:r>
        <w:t xml:space="preserve"> means the Initial Closing or an Additional Closing.</w:t>
      </w:r>
    </w:p>
    <w:p w14:paraId="52CF3F06" w14:textId="77777777" w:rsidR="00CC1787" w:rsidRDefault="00000000" w:rsidP="00B7160B">
      <w:pPr>
        <w:pStyle w:val="ListParagraph"/>
        <w:numPr>
          <w:ilvl w:val="2"/>
          <w:numId w:val="2"/>
        </w:numPr>
        <w:spacing w:after="120"/>
        <w:jc w:val="both"/>
      </w:pPr>
      <w:r>
        <w:rPr>
          <w:b/>
          <w:bCs/>
        </w:rPr>
        <w:t>“Common Stock”</w:t>
      </w:r>
      <w:r>
        <w:t xml:space="preserve"> means the Company’s common stock.</w:t>
      </w:r>
    </w:p>
    <w:p w14:paraId="7C7E0097" w14:textId="77777777" w:rsidR="00A128DD" w:rsidRDefault="00000000" w:rsidP="00B7160B">
      <w:pPr>
        <w:pStyle w:val="ListParagraph"/>
        <w:numPr>
          <w:ilvl w:val="2"/>
          <w:numId w:val="2"/>
        </w:numPr>
        <w:spacing w:after="120"/>
        <w:jc w:val="both"/>
      </w:pPr>
      <w:r>
        <w:rPr>
          <w:b/>
          <w:bCs/>
        </w:rPr>
        <w:t>“Fully Diluted Shares”</w:t>
      </w:r>
      <w:r>
        <w:t xml:space="preserve"> means, measured at any time, the sum of (i) the outstanding shares of Common Stock, (ii) the shares of Common Stock issuable on conversion of all outstanding shares of Preferred Stock, (iii) the shares of Common Stock issuable on exercise or conversion of all outstanding options, warrants, safes, convertible notes and other convertible or exercisable securities, and (iv) all shares reserved and available for issuance under the Company’s equity incentive plans.</w:t>
      </w:r>
    </w:p>
    <w:p w14:paraId="08E9A1E3" w14:textId="0B25524A" w:rsidR="00A128DD" w:rsidRDefault="00000000" w:rsidP="00B7160B">
      <w:pPr>
        <w:pStyle w:val="ListParagraph"/>
        <w:numPr>
          <w:ilvl w:val="2"/>
          <w:numId w:val="2"/>
        </w:numPr>
        <w:spacing w:after="120"/>
        <w:jc w:val="both"/>
      </w:pPr>
      <w:r>
        <w:rPr>
          <w:b/>
          <w:bCs/>
        </w:rPr>
        <w:t>“Initial Closing”</w:t>
      </w:r>
      <w:r>
        <w:t xml:space="preserve"> means the first closing of the sale of Shares under </w:t>
      </w:r>
      <w:r>
        <w:rPr>
          <w:u w:val="single"/>
        </w:rPr>
        <w:t>Section </w:t>
      </w:r>
      <w:r>
        <w:rPr>
          <w:u w:val="single"/>
        </w:rPr>
        <w:fldChar w:fldCharType="begin"/>
      </w:r>
      <w:r>
        <w:rPr>
          <w:u w:val="single"/>
        </w:rPr>
        <w:instrText xml:space="preserve"> REF _Ref239080029 \r \h  \* MERGEFORMAT </w:instrText>
      </w:r>
      <w:r>
        <w:rPr>
          <w:u w:val="single"/>
        </w:rPr>
      </w:r>
      <w:r>
        <w:rPr>
          <w:u w:val="single"/>
        </w:rPr>
        <w:fldChar w:fldCharType="separate"/>
      </w:r>
      <w:r w:rsidR="005E349C">
        <w:rPr>
          <w:u w:val="single"/>
        </w:rPr>
        <w:t>2.3</w:t>
      </w:r>
      <w:r>
        <w:rPr>
          <w:u w:val="single"/>
        </w:rPr>
        <w:fldChar w:fldCharType="end"/>
      </w:r>
      <w:r>
        <w:t>.</w:t>
      </w:r>
    </w:p>
    <w:p w14:paraId="05F42CB4" w14:textId="77777777" w:rsidR="00A128DD" w:rsidRDefault="00000000" w:rsidP="00B7160B">
      <w:pPr>
        <w:pStyle w:val="ListParagraph"/>
        <w:numPr>
          <w:ilvl w:val="2"/>
          <w:numId w:val="2"/>
        </w:numPr>
        <w:spacing w:after="120"/>
        <w:jc w:val="both"/>
      </w:pPr>
      <w:r>
        <w:rPr>
          <w:b/>
          <w:bCs/>
        </w:rPr>
        <w:t>“IPO”</w:t>
      </w:r>
      <w:r>
        <w:t xml:space="preserve"> means the closing of the Company’s first firm commitment underwritten public offering of its Common Stock under the Securities Act.</w:t>
      </w:r>
    </w:p>
    <w:p w14:paraId="0363A174" w14:textId="57DD3B55" w:rsidR="00A128DD" w:rsidRDefault="00000000" w:rsidP="00B7160B">
      <w:pPr>
        <w:pStyle w:val="ListParagraph"/>
        <w:numPr>
          <w:ilvl w:val="2"/>
          <w:numId w:val="2"/>
        </w:numPr>
        <w:spacing w:after="120"/>
        <w:jc w:val="both"/>
      </w:pPr>
      <w:r>
        <w:rPr>
          <w:b/>
          <w:bCs/>
        </w:rPr>
        <w:t>“Liquidity Event”</w:t>
      </w:r>
      <w:r>
        <w:t xml:space="preserve"> means a Liquidation Event as that term is defined in the Charter.</w:t>
      </w:r>
    </w:p>
    <w:p w14:paraId="20358B20" w14:textId="3D9DFAE5" w:rsidR="00A128DD" w:rsidRDefault="00000000" w:rsidP="00B7160B">
      <w:pPr>
        <w:pStyle w:val="ListParagraph"/>
        <w:numPr>
          <w:ilvl w:val="2"/>
          <w:numId w:val="2"/>
        </w:numPr>
        <w:spacing w:after="120"/>
        <w:jc w:val="both"/>
      </w:pPr>
      <w:r>
        <w:rPr>
          <w:b/>
          <w:bCs/>
        </w:rPr>
        <w:t>“Major Investor”</w:t>
      </w:r>
      <w:r>
        <w:t xml:space="preserve"> means GX[, </w:t>
      </w:r>
      <w:r>
        <w:rPr>
          <w:highlight w:val="yellow"/>
        </w:rPr>
        <w:t>and any other Investor</w:t>
      </w:r>
      <w:r>
        <w:t xml:space="preserve"> that holds, together with its Affiliates and any fund under common management with it, at least [</w:t>
      </w:r>
      <w:r>
        <w:rPr>
          <w:highlight w:val="yellow"/>
        </w:rPr>
        <w:t>__</w:t>
      </w:r>
      <w:r>
        <w:t>]% of the Shares issued under this Agreement].</w:t>
      </w:r>
    </w:p>
    <w:p w14:paraId="41271601" w14:textId="0C0AF2E4" w:rsidR="00A128DD" w:rsidRPr="00B05084" w:rsidRDefault="00000000" w:rsidP="00B7160B">
      <w:pPr>
        <w:pStyle w:val="ListParagraph"/>
        <w:numPr>
          <w:ilvl w:val="2"/>
          <w:numId w:val="2"/>
        </w:numPr>
        <w:spacing w:after="120"/>
        <w:jc w:val="both"/>
      </w:pPr>
      <w:r>
        <w:rPr>
          <w:b/>
          <w:bCs/>
        </w:rPr>
        <w:lastRenderedPageBreak/>
        <w:t>“New Securities”</w:t>
      </w:r>
      <w:r>
        <w:t xml:space="preserve"> means any equity security of the Company, and any other security convertible into or exercisable for an equity security of the Company, other than the securities excluded by </w:t>
      </w:r>
      <w:r>
        <w:rPr>
          <w:u w:val="single"/>
        </w:rPr>
        <w:t xml:space="preserve">Section </w:t>
      </w:r>
      <w:r>
        <w:rPr>
          <w:u w:val="single"/>
        </w:rPr>
        <w:fldChar w:fldCharType="begin"/>
      </w:r>
      <w:r>
        <w:rPr>
          <w:u w:val="single"/>
        </w:rPr>
        <w:instrText xml:space="preserve"> REF _Ref239083639 \r \h  \* MERGEFORMAT </w:instrText>
      </w:r>
      <w:r>
        <w:rPr>
          <w:u w:val="single"/>
        </w:rPr>
      </w:r>
      <w:r>
        <w:rPr>
          <w:u w:val="single"/>
        </w:rPr>
        <w:fldChar w:fldCharType="separate"/>
      </w:r>
      <w:r w:rsidR="005E349C">
        <w:rPr>
          <w:u w:val="single"/>
        </w:rPr>
        <w:t>3.3</w:t>
      </w:r>
      <w:r>
        <w:rPr>
          <w:u w:val="single"/>
        </w:rPr>
        <w:fldChar w:fldCharType="end"/>
      </w:r>
      <w:r>
        <w:t>.</w:t>
      </w:r>
    </w:p>
    <w:p w14:paraId="1383F3DE" w14:textId="747EF62C" w:rsidR="00A128DD" w:rsidRDefault="00000000" w:rsidP="00B7160B">
      <w:pPr>
        <w:pStyle w:val="ListParagraph"/>
        <w:numPr>
          <w:ilvl w:val="2"/>
          <w:numId w:val="2"/>
        </w:numPr>
        <w:spacing w:after="120"/>
        <w:jc w:val="both"/>
      </w:pPr>
      <w:r>
        <w:rPr>
          <w:b/>
          <w:bCs/>
        </w:rPr>
        <w:t>“Preferred Stock”</w:t>
      </w:r>
      <w:r>
        <w:t xml:space="preserve"> means the Company’s preferred stock, including the Series Profit Preferred Stock[ </w:t>
      </w:r>
      <w:r>
        <w:rPr>
          <w:highlight w:val="yellow"/>
        </w:rPr>
        <w:t>and Series Profit-1 Preferred Stock</w:t>
      </w:r>
      <w:r>
        <w:t>].</w:t>
      </w:r>
      <w:r>
        <w:rPr>
          <w:rStyle w:val="FootnoteReference"/>
        </w:rPr>
        <w:footnoteReference w:id="1"/>
      </w:r>
    </w:p>
    <w:p w14:paraId="482F3469" w14:textId="5A3CF6FD" w:rsidR="00A128DD" w:rsidRDefault="00000000" w:rsidP="00B7160B">
      <w:pPr>
        <w:pStyle w:val="ListParagraph"/>
        <w:numPr>
          <w:ilvl w:val="2"/>
          <w:numId w:val="2"/>
        </w:numPr>
        <w:spacing w:after="120"/>
        <w:jc w:val="both"/>
      </w:pPr>
      <w:r>
        <w:rPr>
          <w:b/>
          <w:bCs/>
        </w:rPr>
        <w:t>“Pro Rata Share”</w:t>
      </w:r>
      <w:r>
        <w:t xml:space="preserve"> means, for any applicable issuance of securities, with respect to an  Investor, the percentage equal to (i) the number of shares of Common Stock the Investor then holds (assuming conversion or exercise of all exercisable or convertible securities of the Company), divided by (ii) the Fully Diluted Shares, in each case measured immediately before that issuance.</w:t>
      </w:r>
    </w:p>
    <w:p w14:paraId="55FA72CA" w14:textId="1E403C43" w:rsidR="00A128DD" w:rsidRDefault="00000000" w:rsidP="00B7160B">
      <w:pPr>
        <w:pStyle w:val="ListParagraph"/>
        <w:numPr>
          <w:ilvl w:val="2"/>
          <w:numId w:val="2"/>
        </w:numPr>
        <w:spacing w:after="120"/>
        <w:jc w:val="both"/>
      </w:pPr>
      <w:r>
        <w:rPr>
          <w:b/>
          <w:bCs/>
        </w:rPr>
        <w:t>“PROFIT Round”</w:t>
      </w:r>
      <w:r>
        <w:t xml:space="preserve"> means the issuance of shares under this Agreement.</w:t>
      </w:r>
    </w:p>
    <w:p w14:paraId="041296A3" w14:textId="77777777" w:rsidR="00A128DD" w:rsidRDefault="00000000" w:rsidP="00B7160B">
      <w:pPr>
        <w:pStyle w:val="ListParagraph"/>
        <w:numPr>
          <w:ilvl w:val="2"/>
          <w:numId w:val="2"/>
        </w:numPr>
        <w:spacing w:after="120"/>
        <w:jc w:val="both"/>
      </w:pPr>
      <w:r>
        <w:rPr>
          <w:b/>
          <w:bCs/>
        </w:rPr>
        <w:t>“Requisite Investors”</w:t>
      </w:r>
      <w:r>
        <w:t xml:space="preserve"> means Investors holding a majority of the Shares then outstanding.</w:t>
      </w:r>
    </w:p>
    <w:p w14:paraId="5829AA3A" w14:textId="77777777" w:rsidR="00A128DD" w:rsidRDefault="00000000" w:rsidP="00B7160B">
      <w:pPr>
        <w:pStyle w:val="ListParagraph"/>
        <w:numPr>
          <w:ilvl w:val="2"/>
          <w:numId w:val="2"/>
        </w:numPr>
        <w:spacing w:after="120"/>
        <w:jc w:val="both"/>
      </w:pPr>
      <w:r>
        <w:rPr>
          <w:b/>
          <w:bCs/>
        </w:rPr>
        <w:t>“Securities Act”</w:t>
      </w:r>
      <w:r>
        <w:t xml:space="preserve"> means the Securities Act of 1933, as amended.</w:t>
      </w:r>
    </w:p>
    <w:p w14:paraId="1244D2E5" w14:textId="77777777" w:rsidR="00FD1391" w:rsidRDefault="00000000" w:rsidP="00B7160B">
      <w:pPr>
        <w:pStyle w:val="ListParagraph"/>
        <w:numPr>
          <w:ilvl w:val="2"/>
          <w:numId w:val="2"/>
        </w:numPr>
        <w:spacing w:after="120"/>
        <w:jc w:val="both"/>
      </w:pPr>
      <w:r>
        <w:rPr>
          <w:b/>
          <w:bCs/>
        </w:rPr>
        <w:t>“Shares”</w:t>
      </w:r>
      <w:r>
        <w:t xml:space="preserve"> means the shares of Series Profit Preferred Stock and Series Profit-1 Preferred Stock </w:t>
      </w:r>
      <w:r>
        <w:rPr>
          <w:rStyle w:val="FootnoteReference"/>
        </w:rPr>
        <w:footnoteReference w:id="2"/>
      </w:r>
      <w:r>
        <w:t xml:space="preserve"> sold under this Agreement, and any shares of Common Stock issued on their conversion.</w:t>
      </w:r>
    </w:p>
    <w:p w14:paraId="077F981E" w14:textId="3F32B477" w:rsidR="00FD1391" w:rsidRDefault="00FD1391" w:rsidP="00B7160B">
      <w:pPr>
        <w:pStyle w:val="ListParagraph"/>
        <w:numPr>
          <w:ilvl w:val="2"/>
          <w:numId w:val="2"/>
        </w:numPr>
        <w:spacing w:after="120"/>
        <w:jc w:val="both"/>
      </w:pPr>
      <w:r>
        <w:t>“</w:t>
      </w:r>
      <w:r>
        <w:rPr>
          <w:b/>
          <w:bCs/>
        </w:rPr>
        <w:t>Series Profit Preferred Stock</w:t>
      </w:r>
      <w:r>
        <w:t>” means shares of the Company’s Series Profit Preferred Stock, par value [</w:t>
      </w:r>
      <w:r>
        <w:rPr>
          <w:highlight w:val="yellow"/>
        </w:rPr>
        <w:t>$0.0001</w:t>
      </w:r>
      <w:r>
        <w:t>] per share.</w:t>
      </w:r>
    </w:p>
    <w:p w14:paraId="34805C57" w14:textId="17421CE3" w:rsidR="00FD1391" w:rsidRDefault="00FD1391" w:rsidP="00B7160B">
      <w:pPr>
        <w:pStyle w:val="ListParagraph"/>
        <w:numPr>
          <w:ilvl w:val="2"/>
          <w:numId w:val="2"/>
        </w:numPr>
        <w:spacing w:after="120"/>
        <w:jc w:val="both"/>
      </w:pPr>
      <w:r>
        <w:t>“</w:t>
      </w:r>
      <w:r>
        <w:rPr>
          <w:b/>
          <w:bCs/>
        </w:rPr>
        <w:t>Series Profit-1 Preferred Stock</w:t>
      </w:r>
      <w:r>
        <w:t>” means shares of the Company’s Series Profit Preferred Stock, par value [</w:t>
      </w:r>
      <w:r>
        <w:rPr>
          <w:highlight w:val="yellow"/>
        </w:rPr>
        <w:t>$0.0001</w:t>
      </w:r>
      <w:r>
        <w:t>] per share.</w:t>
      </w:r>
      <w:r>
        <w:rPr>
          <w:rStyle w:val="FootnoteReference"/>
        </w:rPr>
        <w:footnoteReference w:id="3"/>
      </w:r>
    </w:p>
    <w:p w14:paraId="26C2DC49" w14:textId="77777777" w:rsidR="00A128DD" w:rsidRDefault="00000000" w:rsidP="00B7160B">
      <w:pPr>
        <w:pStyle w:val="ListParagraph"/>
        <w:numPr>
          <w:ilvl w:val="2"/>
          <w:numId w:val="2"/>
        </w:numPr>
        <w:spacing w:after="120"/>
        <w:jc w:val="both"/>
      </w:pPr>
      <w:r>
        <w:rPr>
          <w:b/>
          <w:bCs/>
        </w:rPr>
        <w:t>“Transaction Documents”</w:t>
      </w:r>
      <w:r>
        <w:t xml:space="preserve"> means this Agreement and the Charter.</w:t>
      </w:r>
    </w:p>
    <w:p w14:paraId="1C89A308" w14:textId="77777777" w:rsidR="00A128DD" w:rsidRDefault="00000000" w:rsidP="00A526B0">
      <w:pPr>
        <w:pStyle w:val="ListParagraph"/>
        <w:keepNext/>
        <w:keepLines/>
        <w:numPr>
          <w:ilvl w:val="0"/>
          <w:numId w:val="2"/>
        </w:numPr>
        <w:jc w:val="both"/>
      </w:pPr>
      <w:r>
        <w:rPr>
          <w:u w:val="single"/>
        </w:rPr>
        <w:t>The Purchase.</w:t>
      </w:r>
    </w:p>
    <w:p w14:paraId="67401A75" w14:textId="3393A5AA" w:rsidR="00A128DD" w:rsidRDefault="00AD12F8" w:rsidP="00A526B0">
      <w:pPr>
        <w:pStyle w:val="ListParagraph"/>
        <w:keepNext/>
        <w:keepLines/>
        <w:numPr>
          <w:ilvl w:val="1"/>
          <w:numId w:val="2"/>
        </w:numPr>
        <w:jc w:val="both"/>
      </w:pPr>
      <w:r>
        <w:rPr>
          <w:u w:val="single"/>
        </w:rPr>
        <w:t>Shares Purchased.</w:t>
      </w:r>
      <w:r>
        <w:t xml:space="preserve">  Each Investor will buy, and the Company will issue and sell to that Investor, the number of shares of the Company’s Series Profit Preferred Stock shown next to the Investor’s name on </w:t>
      </w:r>
      <w:r>
        <w:rPr>
          <w:u w:val="single"/>
        </w:rPr>
        <w:t>Exhibit A</w:t>
      </w:r>
      <w:r>
        <w:t xml:space="preserve">, at the price of per share (the </w:t>
      </w:r>
      <w:r>
        <w:rPr>
          <w:b/>
          <w:bCs/>
        </w:rPr>
        <w:t>“Price”</w:t>
      </w:r>
      <w:r>
        <w:t xml:space="preserve">) shown in </w:t>
      </w:r>
      <w:r>
        <w:rPr>
          <w:u w:val="single"/>
        </w:rPr>
        <w:t>Exhibit A</w:t>
      </w:r>
      <w:r>
        <w:t>.</w:t>
      </w:r>
    </w:p>
    <w:p w14:paraId="2143EF52" w14:textId="60C5AF61" w:rsidR="00A128DD" w:rsidRDefault="00000000">
      <w:pPr>
        <w:pStyle w:val="ListParagraph"/>
        <w:numPr>
          <w:ilvl w:val="1"/>
          <w:numId w:val="2"/>
        </w:numPr>
        <w:jc w:val="both"/>
      </w:pPr>
      <w:r>
        <w:rPr>
          <w:u w:val="single"/>
        </w:rPr>
        <w:t>The Charter.</w:t>
      </w:r>
      <w:r>
        <w:t xml:space="preserve">  Before the Initial Closing, the Company will adopt the Charter and file it with the Delaware Secretary of State. The rights, preferences and privileges of the Series Profit Preferred Stock are set out in the Charter, not in this Agreement.</w:t>
      </w:r>
    </w:p>
    <w:p w14:paraId="4640D715" w14:textId="364A50D1" w:rsidR="00A128DD" w:rsidRDefault="00000000">
      <w:pPr>
        <w:pStyle w:val="ListParagraph"/>
        <w:numPr>
          <w:ilvl w:val="1"/>
          <w:numId w:val="2"/>
        </w:numPr>
        <w:jc w:val="both"/>
      </w:pPr>
      <w:bookmarkStart w:id="0" w:name="_Ref239080029"/>
      <w:r>
        <w:rPr>
          <w:u w:val="single"/>
        </w:rPr>
        <w:t>The Initial Closing.</w:t>
      </w:r>
      <w:r>
        <w:t xml:space="preserve">  The Initial Closing will take place remotely, by exchange of signatures and funds, on the Agreement Date or any other date agreed by the Company and GX.  </w:t>
      </w:r>
      <w:bookmarkEnd w:id="0"/>
    </w:p>
    <w:p w14:paraId="4088269B" w14:textId="69F3F9F3" w:rsidR="00A128DD" w:rsidRDefault="004F4F77">
      <w:pPr>
        <w:pStyle w:val="ListParagraph"/>
        <w:numPr>
          <w:ilvl w:val="1"/>
          <w:numId w:val="2"/>
        </w:numPr>
        <w:jc w:val="both"/>
      </w:pPr>
      <w:bookmarkStart w:id="1" w:name="_Ref239080064"/>
      <w:r>
        <w:rPr>
          <w:highlight w:val="yellow"/>
          <w:u w:val="single"/>
        </w:rPr>
        <w:t>[</w:t>
      </w:r>
      <w:bookmarkStart w:id="2" w:name="_Ref239417967"/>
      <w:r>
        <w:rPr>
          <w:highlight w:val="yellow"/>
          <w:u w:val="single"/>
        </w:rPr>
        <w:t>Additional Closings</w:t>
      </w:r>
      <w:r>
        <w:rPr>
          <w:u w:val="single"/>
        </w:rPr>
        <w:t>.</w:t>
      </w:r>
      <w:r>
        <w:t xml:space="preserve">  For 120 days after the Initial Closing (the </w:t>
      </w:r>
      <w:r>
        <w:rPr>
          <w:b/>
          <w:bCs/>
        </w:rPr>
        <w:t>“Additional Closing Period”</w:t>
      </w:r>
      <w:r>
        <w:t xml:space="preserve">), the Company may sell additional Shares at the Price to additional investors satisfactory to GX, up to the number of shares of Series Profit Preferred Stock that the Charter authorizes and the Company has not already issued. The Company does not need any Investor’s consent or signature to do this. Each additional investor signs a counterpart signature page to this </w:t>
      </w:r>
      <w:r>
        <w:lastRenderedPageBreak/>
        <w:t xml:space="preserve">Agreement and is added to </w:t>
      </w:r>
      <w:r>
        <w:rPr>
          <w:u w:val="single"/>
        </w:rPr>
        <w:t>Exhibit A</w:t>
      </w:r>
      <w:r>
        <w:t>, and from then on has the same rights and obligations as an Investor that signed at the Initial Closing. An existing Investor may buy additional Shares at an Additional Closing</w:t>
      </w:r>
      <w:bookmarkEnd w:id="2"/>
      <w:r>
        <w:t>.</w:t>
      </w:r>
      <w:bookmarkEnd w:id="1"/>
      <w:r>
        <w:t>]</w:t>
      </w:r>
    </w:p>
    <w:p w14:paraId="423DEA51" w14:textId="3DA56B3D" w:rsidR="00A128DD" w:rsidRDefault="00AD12F8">
      <w:pPr>
        <w:pStyle w:val="ListParagraph"/>
        <w:numPr>
          <w:ilvl w:val="1"/>
          <w:numId w:val="2"/>
        </w:numPr>
        <w:jc w:val="both"/>
      </w:pPr>
      <w:r>
        <w:rPr>
          <w:u w:val="single"/>
        </w:rPr>
        <w:t>Payment.</w:t>
      </w:r>
      <w:r>
        <w:t xml:space="preserve">  At each Closing, each Investor pays for its Shares by wire transfer, check, conversion of convertible securities held by that Investor, or any combination of those. The Company will record the Shares in book-entry or electronic certificated form on its stock ledger and will deliver a certificate if the Investor asks for one.</w:t>
      </w:r>
    </w:p>
    <w:p w14:paraId="0F6971A4" w14:textId="76D64926" w:rsidR="00F87CAA" w:rsidRDefault="00AD12F8" w:rsidP="00A526B0">
      <w:pPr>
        <w:pStyle w:val="ListParagraph"/>
        <w:numPr>
          <w:ilvl w:val="1"/>
          <w:numId w:val="2"/>
        </w:numPr>
        <w:jc w:val="both"/>
      </w:pPr>
      <w:r>
        <w:rPr>
          <w:u w:val="single"/>
        </w:rPr>
        <w:t>Convertible Instruments.</w:t>
      </w:r>
      <w:r>
        <w:t xml:space="preserve">  [Each Investor whose Shares are issued on conversion of simple agreements for future equity and/or other convertible securities issued by the Company (the “</w:t>
      </w:r>
      <w:r>
        <w:rPr>
          <w:b/>
          <w:bCs/>
        </w:rPr>
        <w:t>Convertible Securities</w:t>
      </w:r>
      <w:r>
        <w:t xml:space="preserve">”) waives any notice required by those Convertible Securities, agrees that interest stops accruing on the Agreement Date, as applicable, and agrees that the instrument is satisfied in full and cancelled when the Shares are issued. </w:t>
      </w:r>
      <w:r>
        <w:rPr>
          <w:szCs w:val="22"/>
        </w:rPr>
        <w:t xml:space="preserve">At the Initial Closing, all of such Investor’s Convertible Securities will automatically and without any action on the part of such Investor convert into the number of shares of Series </w:t>
      </w:r>
      <w:r>
        <w:rPr>
          <w:highlight w:val="yellow"/>
        </w:rPr>
        <w:t>[PROFIT]</w:t>
      </w:r>
      <w:r>
        <w:rPr>
          <w:szCs w:val="22"/>
        </w:rPr>
        <w:t xml:space="preserve"> Preferred Stock or Series </w:t>
      </w:r>
      <w:r>
        <w:rPr>
          <w:highlight w:val="yellow"/>
        </w:rPr>
        <w:t>[PROFIT]</w:t>
      </w:r>
      <w:r>
        <w:rPr>
          <w:szCs w:val="22"/>
        </w:rPr>
        <w:t xml:space="preserve"> Preferred Stock, as applicable, set forth opposite such Investor’s name under the applicable column heading “Convertible Security Shares” on </w:t>
      </w:r>
      <w:r>
        <w:rPr>
          <w:szCs w:val="22"/>
          <w:u w:val="single"/>
        </w:rPr>
        <w:t>Exhibit A</w:t>
      </w:r>
      <w:r>
        <w:t>, and will be cancelled</w:t>
      </w:r>
      <w:r>
        <w:rPr>
          <w:szCs w:val="22"/>
        </w:rPr>
        <w:t xml:space="preserve"> </w:t>
      </w:r>
      <w:r>
        <w:t xml:space="preserve">and become void. The Company and each such Investor further agree, for themselves and all holders, that all Convertible Securities are deemed amended as needed to permit this conversion, fix the conversion price at the price shown on </w:t>
      </w:r>
      <w:r>
        <w:rPr>
          <w:u w:val="single"/>
        </w:rPr>
        <w:t>Exhibit A</w:t>
      </w:r>
      <w:r>
        <w:t>, and terminate all Convertible Securities upon the Initial Closing.]</w:t>
      </w:r>
    </w:p>
    <w:p w14:paraId="74B640CA" w14:textId="3CCA5DEC" w:rsidR="00A128DD" w:rsidRDefault="0062796B">
      <w:pPr>
        <w:pStyle w:val="ListParagraph"/>
        <w:numPr>
          <w:ilvl w:val="0"/>
          <w:numId w:val="2"/>
        </w:numPr>
        <w:jc w:val="both"/>
      </w:pPr>
      <w:bookmarkStart w:id="3" w:name="_Ref239585349"/>
      <w:bookmarkStart w:id="4" w:name="_Ref239417853"/>
      <w:r>
        <w:rPr>
          <w:u w:val="single"/>
        </w:rPr>
        <w:t>Pro Rata Right.</w:t>
      </w:r>
      <w:bookmarkEnd w:id="3"/>
      <w:bookmarkEnd w:id="4"/>
    </w:p>
    <w:p w14:paraId="077738B0" w14:textId="05D05896" w:rsidR="00A128DD" w:rsidRDefault="00000000" w:rsidP="00B05084">
      <w:pPr>
        <w:pStyle w:val="ListParagraph"/>
        <w:numPr>
          <w:ilvl w:val="1"/>
          <w:numId w:val="2"/>
        </w:numPr>
        <w:jc w:val="both"/>
      </w:pPr>
      <w:bookmarkStart w:id="5" w:name="_Ref239585439"/>
      <w:r>
        <w:rPr>
          <w:u w:val="single"/>
        </w:rPr>
        <w:t>The right.</w:t>
      </w:r>
      <w:r>
        <w:t xml:space="preserve">  Each Major Investor has the right, but not the obligation, to purchase its Pro Rata Share of any New Securities the Company issues after the PROFIT Round, on the same terms and conditions offered to other purchasers of that New Securities. If an Investor does not purchase its full Pro Rata Share, the other Investors participating in that issuance may purchase the unpurchased portion, allocated among them pro rata based on their relative Pro Rata Shares (or as they otherwise agree). An Investor that has not notified the Company in writing of its election to participate within fourteen (14) days after the Company gives it written notice of the terms of the proposed issuance is deemed to have irrevocably waived its right to participate in that issuance.  The Investor then has 15 days from the date the notice is effective to tell the Company in writing how much of its Pro Rata Share it will buy. An Investor that does not respond within that period declines for that issuance only. Declining, once or repeatedly, does not waive the right for any later issuance.</w:t>
      </w:r>
      <w:bookmarkEnd w:id="5"/>
    </w:p>
    <w:p w14:paraId="16A012B8" w14:textId="0607B903" w:rsidR="00A128DD" w:rsidRDefault="00000000" w:rsidP="005C703E">
      <w:pPr>
        <w:pStyle w:val="ListParagraph"/>
        <w:numPr>
          <w:ilvl w:val="1"/>
          <w:numId w:val="2"/>
        </w:numPr>
        <w:jc w:val="both"/>
      </w:pPr>
      <w:r>
        <w:rPr>
          <w:u w:val="single"/>
        </w:rPr>
        <w:t>Shares no one takes.</w:t>
      </w:r>
      <w:r>
        <w:t xml:space="preserve">  If the Investors do not take their full Pro Rata Shares in a issuance, the Company will offer the unsubscribed amount to the Investors that took their full Pro Rata Shares, allocated among them in proportion to their relative Pro Rata Shares. Those Investors have 5 days to accept.  The Company has 120 days after the end of the election period to sell the New Securities the Investors did not take, at a price and on terms not materially more favorable to the purchasers than those described in the Company’s notice. After that, the Company </w:t>
      </w:r>
      <w:proofErr w:type="gramStart"/>
      <w:r>
        <w:t>has to</w:t>
      </w:r>
      <w:proofErr w:type="gramEnd"/>
      <w:r>
        <w:t xml:space="preserve"> give a new notice under </w:t>
      </w:r>
      <w:r>
        <w:rPr>
          <w:u w:val="single"/>
        </w:rPr>
        <w:t xml:space="preserve">Section </w:t>
      </w:r>
      <w:r>
        <w:rPr>
          <w:u w:val="single"/>
        </w:rPr>
        <w:fldChar w:fldCharType="begin"/>
      </w:r>
      <w:r>
        <w:rPr>
          <w:u w:val="single"/>
        </w:rPr>
        <w:instrText xml:space="preserve"> REF _Ref239585439 \r \h  \* MERGEFORMAT </w:instrText>
      </w:r>
      <w:r>
        <w:rPr>
          <w:u w:val="single"/>
        </w:rPr>
      </w:r>
      <w:r>
        <w:rPr>
          <w:u w:val="single"/>
        </w:rPr>
        <w:fldChar w:fldCharType="separate"/>
      </w:r>
      <w:r w:rsidR="005E349C">
        <w:rPr>
          <w:u w:val="single"/>
        </w:rPr>
        <w:t>3.1</w:t>
      </w:r>
      <w:r>
        <w:rPr>
          <w:u w:val="single"/>
        </w:rPr>
        <w:fldChar w:fldCharType="end"/>
      </w:r>
      <w:r>
        <w:t xml:space="preserve"> before selling those securities.</w:t>
      </w:r>
    </w:p>
    <w:p w14:paraId="15FAD917" w14:textId="2E39886E" w:rsidR="00A128DD" w:rsidRPr="00B05084" w:rsidRDefault="00000000" w:rsidP="006976D1">
      <w:pPr>
        <w:pStyle w:val="ListParagraph"/>
        <w:keepNext/>
        <w:numPr>
          <w:ilvl w:val="1"/>
          <w:numId w:val="2"/>
        </w:numPr>
        <w:jc w:val="both"/>
      </w:pPr>
      <w:bookmarkStart w:id="6" w:name="_Ref239083639"/>
      <w:r>
        <w:rPr>
          <w:u w:val="single"/>
        </w:rPr>
        <w:lastRenderedPageBreak/>
        <w:t>What does not count.</w:t>
      </w:r>
      <w:r>
        <w:t xml:space="preserve">  New Securities do not include, and this </w:t>
      </w:r>
      <w:r>
        <w:rPr>
          <w:u w:val="single"/>
        </w:rPr>
        <w:t xml:space="preserve">Section </w:t>
      </w:r>
      <w:r>
        <w:rPr>
          <w:u w:val="single"/>
        </w:rPr>
        <w:fldChar w:fldCharType="begin"/>
      </w:r>
      <w:r>
        <w:rPr>
          <w:u w:val="single"/>
        </w:rPr>
        <w:instrText xml:space="preserve"> REF _Ref239585349 \r \h  \* MERGEFORMAT </w:instrText>
      </w:r>
      <w:r>
        <w:rPr>
          <w:u w:val="single"/>
        </w:rPr>
      </w:r>
      <w:r>
        <w:rPr>
          <w:u w:val="single"/>
        </w:rPr>
        <w:fldChar w:fldCharType="separate"/>
      </w:r>
      <w:r w:rsidR="005E349C">
        <w:rPr>
          <w:u w:val="single"/>
        </w:rPr>
        <w:t>3</w:t>
      </w:r>
      <w:r>
        <w:rPr>
          <w:u w:val="single"/>
        </w:rPr>
        <w:fldChar w:fldCharType="end"/>
      </w:r>
      <w:r>
        <w:t xml:space="preserve"> does not apply to:</w:t>
      </w:r>
      <w:bookmarkEnd w:id="6"/>
    </w:p>
    <w:p w14:paraId="5366FC54" w14:textId="77777777" w:rsidR="00A128DD" w:rsidRPr="00B05084" w:rsidRDefault="00000000">
      <w:pPr>
        <w:pStyle w:val="ListParagraph"/>
        <w:numPr>
          <w:ilvl w:val="2"/>
          <w:numId w:val="2"/>
        </w:numPr>
        <w:jc w:val="both"/>
      </w:pPr>
      <w:r>
        <w:t>Common Stock issued on conversion of Preferred Stock;</w:t>
      </w:r>
    </w:p>
    <w:p w14:paraId="30EB0C77" w14:textId="61C0CACC" w:rsidR="00A128DD" w:rsidRPr="00B05084" w:rsidRDefault="00000000">
      <w:pPr>
        <w:pStyle w:val="ListParagraph"/>
        <w:numPr>
          <w:ilvl w:val="2"/>
          <w:numId w:val="2"/>
        </w:numPr>
        <w:jc w:val="both"/>
      </w:pPr>
      <w:r>
        <w:t xml:space="preserve">securities issued on exercise or conversion of options, warrants, safes, convertible notes or other convertible securities that are outstanding on the date of this Agreement, or that are issued later in compliance with this </w:t>
      </w:r>
      <w:r>
        <w:rPr>
          <w:u w:val="single"/>
        </w:rPr>
        <w:t xml:space="preserve">Section </w:t>
      </w:r>
      <w:r>
        <w:rPr>
          <w:u w:val="single"/>
        </w:rPr>
        <w:fldChar w:fldCharType="begin"/>
      </w:r>
      <w:r>
        <w:rPr>
          <w:u w:val="single"/>
        </w:rPr>
        <w:instrText xml:space="preserve"> REF _Ref239585349 \r \h  \* MERGEFORMAT </w:instrText>
      </w:r>
      <w:r>
        <w:rPr>
          <w:u w:val="single"/>
        </w:rPr>
      </w:r>
      <w:r>
        <w:rPr>
          <w:u w:val="single"/>
        </w:rPr>
        <w:fldChar w:fldCharType="separate"/>
      </w:r>
      <w:r w:rsidR="005E349C">
        <w:rPr>
          <w:u w:val="single"/>
        </w:rPr>
        <w:t>3</w:t>
      </w:r>
      <w:r>
        <w:rPr>
          <w:u w:val="single"/>
        </w:rPr>
        <w:fldChar w:fldCharType="end"/>
      </w:r>
      <w:r>
        <w:t>;</w:t>
      </w:r>
    </w:p>
    <w:p w14:paraId="444A04ED" w14:textId="77777777" w:rsidR="00A128DD" w:rsidRPr="00B05084" w:rsidRDefault="00000000">
      <w:pPr>
        <w:pStyle w:val="ListParagraph"/>
        <w:numPr>
          <w:ilvl w:val="2"/>
          <w:numId w:val="2"/>
        </w:numPr>
        <w:jc w:val="both"/>
      </w:pPr>
      <w:r>
        <w:t>securities issued in a stock split, stock dividend, combination, recapitalization or similar event in which all holders of the affected class or series are treated the same;</w:t>
      </w:r>
    </w:p>
    <w:p w14:paraId="66ABCDD0" w14:textId="77777777" w:rsidR="00A128DD" w:rsidRPr="00B05084" w:rsidRDefault="00000000">
      <w:pPr>
        <w:pStyle w:val="ListParagraph"/>
        <w:numPr>
          <w:ilvl w:val="2"/>
          <w:numId w:val="2"/>
        </w:numPr>
        <w:jc w:val="both"/>
      </w:pPr>
      <w:r>
        <w:t>equity awards granted to employees, officers, directors, consultants or advisors under a plan or arrangement approved by the Board;</w:t>
      </w:r>
    </w:p>
    <w:p w14:paraId="68039CF8" w14:textId="77777777" w:rsidR="00A128DD" w:rsidRPr="00B05084" w:rsidRDefault="00000000">
      <w:pPr>
        <w:pStyle w:val="ListParagraph"/>
        <w:numPr>
          <w:ilvl w:val="2"/>
          <w:numId w:val="2"/>
        </w:numPr>
        <w:jc w:val="both"/>
      </w:pPr>
      <w:r>
        <w:t>the Shares issued under this Agreement, including at an Additional Closing;</w:t>
      </w:r>
    </w:p>
    <w:p w14:paraId="6DA9D253" w14:textId="77777777" w:rsidR="00A128DD" w:rsidRPr="00B05084" w:rsidRDefault="00000000">
      <w:pPr>
        <w:pStyle w:val="ListParagraph"/>
        <w:numPr>
          <w:ilvl w:val="2"/>
          <w:numId w:val="2"/>
        </w:numPr>
        <w:jc w:val="both"/>
      </w:pPr>
      <w:r>
        <w:t>securities issued to the public in an IPO;</w:t>
      </w:r>
    </w:p>
    <w:p w14:paraId="26F69A23" w14:textId="77777777" w:rsidR="00A128DD" w:rsidRPr="00B05084" w:rsidRDefault="00000000">
      <w:pPr>
        <w:pStyle w:val="ListParagraph"/>
        <w:numPr>
          <w:ilvl w:val="2"/>
          <w:numId w:val="2"/>
        </w:numPr>
        <w:jc w:val="both"/>
      </w:pPr>
      <w:r>
        <w:t>securities issued as consideration in an acquisition, joint venture, or commercial or strategic partnership approved by the Board; and</w:t>
      </w:r>
    </w:p>
    <w:p w14:paraId="5D83FE6A" w14:textId="77777777" w:rsidR="00A128DD" w:rsidRPr="00B05084" w:rsidRDefault="00000000">
      <w:pPr>
        <w:pStyle w:val="ListParagraph"/>
        <w:numPr>
          <w:ilvl w:val="2"/>
          <w:numId w:val="2"/>
        </w:numPr>
        <w:jc w:val="both"/>
      </w:pPr>
      <w:r>
        <w:t>securities issued to a lender, equipment lessor or landlord in connection with a debt financing, equipment lease or real property lease approved by the Board.</w:t>
      </w:r>
    </w:p>
    <w:p w14:paraId="1BAEAA15" w14:textId="37DB0F21" w:rsidR="00A128DD" w:rsidRDefault="00000000">
      <w:pPr>
        <w:pStyle w:val="ListParagraph"/>
        <w:numPr>
          <w:ilvl w:val="1"/>
          <w:numId w:val="2"/>
        </w:numPr>
        <w:jc w:val="both"/>
      </w:pPr>
      <w:r>
        <w:rPr>
          <w:u w:val="single"/>
        </w:rPr>
        <w:t>Accredited investors only.</w:t>
      </w:r>
      <w:r>
        <w:t xml:space="preserve">  An Investor may exercise its right under this </w:t>
      </w:r>
      <w:r>
        <w:rPr>
          <w:u w:val="single"/>
        </w:rPr>
        <w:t xml:space="preserve">Section </w:t>
      </w:r>
      <w:r>
        <w:rPr>
          <w:u w:val="single"/>
        </w:rPr>
        <w:fldChar w:fldCharType="begin"/>
      </w:r>
      <w:r>
        <w:rPr>
          <w:u w:val="single"/>
        </w:rPr>
        <w:instrText xml:space="preserve"> REF _Ref239585349 \r \h  \* MERGEFORMAT </w:instrText>
      </w:r>
      <w:r>
        <w:rPr>
          <w:u w:val="single"/>
        </w:rPr>
      </w:r>
      <w:r>
        <w:rPr>
          <w:u w:val="single"/>
        </w:rPr>
        <w:fldChar w:fldCharType="separate"/>
      </w:r>
      <w:r w:rsidR="005E349C">
        <w:rPr>
          <w:u w:val="single"/>
        </w:rPr>
        <w:t>3</w:t>
      </w:r>
      <w:r>
        <w:rPr>
          <w:u w:val="single"/>
        </w:rPr>
        <w:fldChar w:fldCharType="end"/>
      </w:r>
      <w:r>
        <w:t xml:space="preserve"> only if it is an accredited investor at the time of the issuance, and it will confirm that in writing if the Company asks.</w:t>
      </w:r>
    </w:p>
    <w:p w14:paraId="16BF9F87" w14:textId="5BBA3278" w:rsidR="00A128DD" w:rsidRPr="00B4676D" w:rsidRDefault="00000000">
      <w:pPr>
        <w:pStyle w:val="ListParagraph"/>
        <w:numPr>
          <w:ilvl w:val="1"/>
          <w:numId w:val="2"/>
        </w:numPr>
        <w:jc w:val="both"/>
      </w:pPr>
      <w:bookmarkStart w:id="7" w:name="_Ref239586121"/>
      <w:r>
        <w:rPr>
          <w:u w:val="single"/>
        </w:rPr>
        <w:t>Transferring the right.</w:t>
      </w:r>
      <w:r>
        <w:t xml:space="preserve">  An Investor may transfer its rights under this </w:t>
      </w:r>
      <w:r>
        <w:rPr>
          <w:u w:val="single"/>
        </w:rPr>
        <w:t xml:space="preserve">Section </w:t>
      </w:r>
      <w:r>
        <w:rPr>
          <w:u w:val="single"/>
        </w:rPr>
        <w:fldChar w:fldCharType="begin"/>
      </w:r>
      <w:r>
        <w:rPr>
          <w:u w:val="single"/>
        </w:rPr>
        <w:instrText xml:space="preserve"> REF _Ref239585349 \r \h  \* MERGEFORMAT </w:instrText>
      </w:r>
      <w:r>
        <w:rPr>
          <w:u w:val="single"/>
        </w:rPr>
      </w:r>
      <w:r>
        <w:rPr>
          <w:u w:val="single"/>
        </w:rPr>
        <w:fldChar w:fldCharType="separate"/>
      </w:r>
      <w:r w:rsidR="005E349C">
        <w:rPr>
          <w:u w:val="single"/>
        </w:rPr>
        <w:t>3</w:t>
      </w:r>
      <w:r>
        <w:rPr>
          <w:u w:val="single"/>
        </w:rPr>
        <w:fldChar w:fldCharType="end"/>
      </w:r>
      <w:r>
        <w:t xml:space="preserve"> only together with its Shares, and only to an Affiliate of the Investor.  The transferee has to agree in writing to be bound by this Agreement by signing the Joinder in </w:t>
      </w:r>
      <w:r>
        <w:rPr>
          <w:u w:val="single"/>
        </w:rPr>
        <w:t>Exhibit C</w:t>
      </w:r>
      <w:r>
        <w:t>.</w:t>
      </w:r>
      <w:bookmarkEnd w:id="7"/>
    </w:p>
    <w:p w14:paraId="5057C4D9" w14:textId="77777777" w:rsidR="00A128DD" w:rsidRDefault="00000000" w:rsidP="00A526B0">
      <w:pPr>
        <w:pStyle w:val="ListParagraph"/>
        <w:keepNext/>
        <w:numPr>
          <w:ilvl w:val="0"/>
          <w:numId w:val="2"/>
        </w:numPr>
        <w:jc w:val="both"/>
      </w:pPr>
      <w:bookmarkStart w:id="8" w:name="_Ref239585520"/>
      <w:bookmarkStart w:id="9" w:name="_Ref239418081"/>
      <w:r>
        <w:rPr>
          <w:u w:val="single"/>
        </w:rPr>
        <w:t>Other Investor Rights.</w:t>
      </w:r>
      <w:bookmarkEnd w:id="8"/>
      <w:bookmarkEnd w:id="9"/>
    </w:p>
    <w:p w14:paraId="5227AB9F" w14:textId="7EC767BE" w:rsidR="00A128DD" w:rsidRDefault="00000000">
      <w:pPr>
        <w:pStyle w:val="ListParagraph"/>
        <w:numPr>
          <w:ilvl w:val="1"/>
          <w:numId w:val="2"/>
        </w:numPr>
        <w:jc w:val="both"/>
      </w:pPr>
      <w:bookmarkStart w:id="10" w:name="_Ref239585281"/>
      <w:r>
        <w:rPr>
          <w:u w:val="single"/>
        </w:rPr>
        <w:t>Financial information.</w:t>
      </w:r>
      <w:r>
        <w:t xml:space="preserve">  On written request, the Company will give each Investor (a) unaudited annual financial statements, consisting of a balance sheet, a statement of operations and a statement of cash flows, within 90 days after the end of each fiscal year, and (b) a current capitalization table. On written request, the Company will also give each Major Investor unaudited quarterly financial statements within 45 days after the end of each of the first three fiscal quarters. If the Company has audited statements for a period, it will provide those instead. Financial statements will be prepared in accordance with generally accepted accounting principles (GAAP), except that unaudited statements do not need GAAP footnotes and are subject to normal year-end adjustments.</w:t>
      </w:r>
      <w:bookmarkEnd w:id="10"/>
    </w:p>
    <w:p w14:paraId="56EFD717" w14:textId="77777777" w:rsidR="00A128DD" w:rsidRDefault="00000000">
      <w:pPr>
        <w:pStyle w:val="ListParagraph"/>
        <w:numPr>
          <w:ilvl w:val="1"/>
          <w:numId w:val="2"/>
        </w:numPr>
        <w:jc w:val="both"/>
      </w:pPr>
      <w:bookmarkStart w:id="11" w:name="_Ref239585327"/>
      <w:r>
        <w:rPr>
          <w:u w:val="single"/>
        </w:rPr>
        <w:t>Inspection.</w:t>
      </w:r>
      <w:r>
        <w:t xml:space="preserve">  On reasonable advance notice, at reasonable times, and no more than once per fiscal year, the Company will let each Major Investor visit its offices, review its books and records, and discuss its business, finances and accounts with its officers. The Investor pays its own costs of doing this.</w:t>
      </w:r>
      <w:bookmarkEnd w:id="11"/>
    </w:p>
    <w:p w14:paraId="4A1B6F83" w14:textId="6EE351F1" w:rsidR="00A128DD" w:rsidRDefault="00000000">
      <w:pPr>
        <w:pStyle w:val="ListParagraph"/>
        <w:numPr>
          <w:ilvl w:val="1"/>
          <w:numId w:val="2"/>
        </w:numPr>
        <w:jc w:val="both"/>
      </w:pPr>
      <w:bookmarkStart w:id="12" w:name="_Ref239585263"/>
      <w:bookmarkStart w:id="13" w:name="_Ref239418212"/>
      <w:r>
        <w:rPr>
          <w:u w:val="single"/>
        </w:rPr>
        <w:lastRenderedPageBreak/>
        <w:t>Confidentiality.</w:t>
      </w:r>
      <w:r>
        <w:t xml:space="preserve">  Each Investor will keep confidential, and will not use, any non-public information it receives from the Company, except to monitor and evaluate its investment. The Investor may share that information with its attorneys, accountants and other advisors who need it for that purpose and who are obligated to keep it confidential, and with its own existing and prospective investors and fund managers on the same basis. This </w:t>
      </w:r>
      <w:r>
        <w:rPr>
          <w:u w:val="single"/>
        </w:rPr>
        <w:t xml:space="preserve">Section </w:t>
      </w:r>
      <w:r>
        <w:rPr>
          <w:u w:val="single"/>
        </w:rPr>
        <w:fldChar w:fldCharType="begin"/>
      </w:r>
      <w:r>
        <w:rPr>
          <w:u w:val="single"/>
        </w:rPr>
        <w:instrText xml:space="preserve"> REF _Ref239585263 \r \h  \* MERGEFORMAT </w:instrText>
      </w:r>
      <w:r>
        <w:rPr>
          <w:u w:val="single"/>
        </w:rPr>
      </w:r>
      <w:r>
        <w:rPr>
          <w:u w:val="single"/>
        </w:rPr>
        <w:fldChar w:fldCharType="separate"/>
      </w:r>
      <w:r w:rsidR="005E349C">
        <w:rPr>
          <w:u w:val="single"/>
        </w:rPr>
        <w:t>4.3</w:t>
      </w:r>
      <w:r>
        <w:rPr>
          <w:u w:val="single"/>
        </w:rPr>
        <w:fldChar w:fldCharType="end"/>
      </w:r>
      <w:r>
        <w:t xml:space="preserve"> does not apply to information that becomes public through no fault of the Investor, that the Investor already had without a duty of confidentiality, or that the Investor is required by law to disclose, provided the Investor will give the Company notice if it is legally permitted to. No Investor gets access to the Company’s trade secrets by reason of this Agreement, and the Company does not have to provide information under </w:t>
      </w:r>
      <w:r>
        <w:rPr>
          <w:u w:val="single"/>
        </w:rPr>
        <w:t xml:space="preserve">Section </w:t>
      </w:r>
      <w:r>
        <w:rPr>
          <w:u w:val="single"/>
        </w:rPr>
        <w:fldChar w:fldCharType="begin"/>
      </w:r>
      <w:r>
        <w:rPr>
          <w:u w:val="single"/>
        </w:rPr>
        <w:instrText xml:space="preserve"> REF _Ref239585281 \r \h  \* MERGEFORMAT </w:instrText>
      </w:r>
      <w:r>
        <w:rPr>
          <w:u w:val="single"/>
        </w:rPr>
      </w:r>
      <w:r>
        <w:rPr>
          <w:u w:val="single"/>
        </w:rPr>
        <w:fldChar w:fldCharType="separate"/>
      </w:r>
      <w:r w:rsidR="005E349C">
        <w:rPr>
          <w:u w:val="single"/>
        </w:rPr>
        <w:t>4.1</w:t>
      </w:r>
      <w:r>
        <w:rPr>
          <w:u w:val="single"/>
        </w:rPr>
        <w:fldChar w:fldCharType="end"/>
      </w:r>
      <w:r>
        <w:t xml:space="preserve"> or </w:t>
      </w:r>
      <w:r>
        <w:rPr>
          <w:u w:val="single"/>
        </w:rPr>
        <w:t xml:space="preserve">Section </w:t>
      </w:r>
      <w:r>
        <w:rPr>
          <w:u w:val="single"/>
        </w:rPr>
        <w:fldChar w:fldCharType="begin"/>
      </w:r>
      <w:r>
        <w:rPr>
          <w:u w:val="single"/>
        </w:rPr>
        <w:instrText xml:space="preserve"> REF _Ref239585327 \r \h  \* MERGEFORMAT </w:instrText>
      </w:r>
      <w:r>
        <w:rPr>
          <w:u w:val="single"/>
        </w:rPr>
      </w:r>
      <w:r>
        <w:rPr>
          <w:u w:val="single"/>
        </w:rPr>
        <w:fldChar w:fldCharType="separate"/>
      </w:r>
      <w:r w:rsidR="005E349C">
        <w:rPr>
          <w:u w:val="single"/>
        </w:rPr>
        <w:t>4.2</w:t>
      </w:r>
      <w:r>
        <w:rPr>
          <w:u w:val="single"/>
        </w:rPr>
        <w:fldChar w:fldCharType="end"/>
      </w:r>
      <w:r>
        <w:t xml:space="preserve"> to an Investor that the Company reasonably determines is a competitor, or an officer, employee, director or 10% or greater holder of a competitor.</w:t>
      </w:r>
      <w:bookmarkEnd w:id="12"/>
      <w:bookmarkEnd w:id="13"/>
    </w:p>
    <w:p w14:paraId="095E6700" w14:textId="579B8D3D" w:rsidR="00A128DD" w:rsidRDefault="00000000">
      <w:pPr>
        <w:pStyle w:val="ListParagraph"/>
        <w:numPr>
          <w:ilvl w:val="1"/>
          <w:numId w:val="2"/>
        </w:numPr>
        <w:jc w:val="both"/>
      </w:pPr>
      <w:r>
        <w:rPr>
          <w:u w:val="single"/>
        </w:rPr>
        <w:t>Board observer.</w:t>
      </w:r>
      <w:r>
        <w:t xml:space="preserve">  For as long as GX holds at least 25% of the Shares it received under this Agreement, the Company will invite one representative of GX to attend all Board meetings as a non-voting observer and will give that representative the same notice and the same materials the directors receive, at the same time. The Company may exclude the observer from a portion of a meeting, and withhold materials, if the Board determines in good faith that doing so is necessary to preserve attorney-client privilege, to protect competitively sensitive information, or to avoid a conflict of interest.</w:t>
      </w:r>
    </w:p>
    <w:p w14:paraId="05A21616" w14:textId="513B16B5" w:rsidR="00A128DD" w:rsidRDefault="00000000">
      <w:pPr>
        <w:pStyle w:val="ListParagraph"/>
        <w:numPr>
          <w:ilvl w:val="1"/>
          <w:numId w:val="2"/>
        </w:numPr>
        <w:jc w:val="both"/>
      </w:pPr>
      <w:bookmarkStart w:id="14" w:name="_Ref239585235"/>
      <w:r>
        <w:rPr>
          <w:u w:val="single"/>
        </w:rPr>
        <w:t>Board seat.</w:t>
      </w:r>
      <w:r>
        <w:t xml:space="preserve">  If the Board ever includes a director who is not a Key Holder, and for as long as GX holds at least 25% of the Shares it received under this Agreement, GX has the right to designate one director to the Board, and each Investor and each Key Holder will vote all of its Company shares, at every election of directors, to elect and keep that designee in office. No party will act to remove that director, or to designate a replacement, unless GX approves in writing. This </w:t>
      </w:r>
      <w:r>
        <w:rPr>
          <w:u w:val="single"/>
        </w:rPr>
        <w:t xml:space="preserve">Section </w:t>
      </w:r>
      <w:r>
        <w:rPr>
          <w:u w:val="single"/>
        </w:rPr>
        <w:fldChar w:fldCharType="begin"/>
      </w:r>
      <w:r>
        <w:rPr>
          <w:u w:val="single"/>
        </w:rPr>
        <w:instrText xml:space="preserve"> REF _Ref239585235 \r \h  \* MERGEFORMAT </w:instrText>
      </w:r>
      <w:r>
        <w:rPr>
          <w:u w:val="single"/>
        </w:rPr>
      </w:r>
      <w:r>
        <w:rPr>
          <w:u w:val="single"/>
        </w:rPr>
        <w:fldChar w:fldCharType="separate"/>
      </w:r>
      <w:r w:rsidR="005E349C">
        <w:rPr>
          <w:u w:val="single"/>
        </w:rPr>
        <w:t>4.5</w:t>
      </w:r>
      <w:r>
        <w:rPr>
          <w:u w:val="single"/>
        </w:rPr>
        <w:fldChar w:fldCharType="end"/>
      </w:r>
      <w:r>
        <w:t xml:space="preserve"> does not limit the stockholders’ right to remove a director for cause under applicable law.</w:t>
      </w:r>
      <w:bookmarkEnd w:id="14"/>
    </w:p>
    <w:p w14:paraId="36360E7A" w14:textId="77777777" w:rsidR="00A128DD" w:rsidRDefault="00000000" w:rsidP="00A526B0">
      <w:pPr>
        <w:pStyle w:val="ListParagraph"/>
        <w:keepNext/>
        <w:numPr>
          <w:ilvl w:val="0"/>
          <w:numId w:val="2"/>
        </w:numPr>
        <w:jc w:val="both"/>
      </w:pPr>
      <w:bookmarkStart w:id="15" w:name="_Ref239585609"/>
      <w:r>
        <w:rPr>
          <w:u w:val="single"/>
        </w:rPr>
        <w:t>Transfer Restrictions; Sale of the Company.</w:t>
      </w:r>
      <w:bookmarkEnd w:id="15"/>
    </w:p>
    <w:p w14:paraId="52D638E8" w14:textId="27F1F7D4" w:rsidR="00A128DD" w:rsidRDefault="00000000">
      <w:pPr>
        <w:pStyle w:val="ListParagraph"/>
        <w:numPr>
          <w:ilvl w:val="1"/>
          <w:numId w:val="2"/>
        </w:numPr>
        <w:jc w:val="both"/>
      </w:pPr>
      <w:bookmarkStart w:id="16" w:name="_Ref239585145"/>
      <w:r>
        <w:rPr>
          <w:u w:val="single"/>
        </w:rPr>
        <w:t>Transfers.</w:t>
      </w:r>
      <w:r>
        <w:t xml:space="preserve">  No Investor or Key Holder will transfer any Company securities unless the transfer is registered under the Securities Act or exempt from registration. Any transferee has to agree in writing to be bound by this Agreement to the same extent as the transferor by signing the Joinder in </w:t>
      </w:r>
      <w:r>
        <w:rPr>
          <w:u w:val="single"/>
        </w:rPr>
        <w:t>Exhibit C</w:t>
      </w:r>
      <w:r>
        <w:t xml:space="preserve">. Every transfer also </w:t>
      </w:r>
      <w:proofErr w:type="gramStart"/>
      <w:r>
        <w:t>has to</w:t>
      </w:r>
      <w:proofErr w:type="gramEnd"/>
      <w:r>
        <w:t xml:space="preserve"> comply with </w:t>
      </w:r>
      <w:r w:rsidR="00054ABF">
        <w:t xml:space="preserve">this Agreement, </w:t>
      </w:r>
      <w:r>
        <w:t>the Charter, the Company’s bylaws, and any other agreement between the transferring holder and the Company.</w:t>
      </w:r>
      <w:bookmarkEnd w:id="16"/>
    </w:p>
    <w:p w14:paraId="09D40CFA" w14:textId="77777777" w:rsidR="00A128DD" w:rsidRDefault="00000000">
      <w:pPr>
        <w:pStyle w:val="ListParagraph"/>
        <w:numPr>
          <w:ilvl w:val="1"/>
          <w:numId w:val="2"/>
        </w:numPr>
        <w:jc w:val="both"/>
      </w:pPr>
      <w:bookmarkStart w:id="17" w:name="_Ref239584675"/>
      <w:bookmarkStart w:id="18" w:name="_Ref239418113"/>
      <w:r>
        <w:rPr>
          <w:u w:val="single"/>
        </w:rPr>
        <w:t>Sale of the Company.</w:t>
      </w:r>
      <w:r>
        <w:t xml:space="preserve">  If the Board, the holders of a majority of the outstanding Common Stock that was not issued on conversion of Preferred Stock, and the holders of a majority of the outstanding Preferred Stock, voting together as a single class on an as-converted basis, all approve a Liquidity Event, then each Investor and each Key Holder will vote all of its Company shares in favor of that Liquidity Event, will not exercise any dissenters’ or appraisal rights, and will sign the customary documents needed to close it, including instruments of transfer, a purchase or merger agreement, an escrow agreement and any required consents or governmental filings.</w:t>
      </w:r>
      <w:bookmarkEnd w:id="17"/>
      <w:bookmarkEnd w:id="18"/>
    </w:p>
    <w:p w14:paraId="27027E81" w14:textId="2A6AB1C6" w:rsidR="00A128DD" w:rsidRDefault="00000000" w:rsidP="00133380">
      <w:pPr>
        <w:pStyle w:val="ListParagraph"/>
        <w:keepNext/>
        <w:numPr>
          <w:ilvl w:val="1"/>
          <w:numId w:val="2"/>
        </w:numPr>
        <w:jc w:val="both"/>
      </w:pPr>
      <w:bookmarkStart w:id="19" w:name="_Ref239418134"/>
      <w:r>
        <w:rPr>
          <w:u w:val="single"/>
        </w:rPr>
        <w:lastRenderedPageBreak/>
        <w:t>Limitations.</w:t>
      </w:r>
      <w:r>
        <w:t xml:space="preserve">  </w:t>
      </w:r>
      <w:r>
        <w:rPr>
          <w:u w:val="single"/>
        </w:rPr>
        <w:t xml:space="preserve">Section </w:t>
      </w:r>
      <w:r>
        <w:rPr>
          <w:u w:val="single"/>
        </w:rPr>
        <w:fldChar w:fldCharType="begin"/>
      </w:r>
      <w:r>
        <w:rPr>
          <w:u w:val="single"/>
        </w:rPr>
        <w:instrText xml:space="preserve"> REF _Ref239584675 \r \h  \* MERGEFORMAT </w:instrText>
      </w:r>
      <w:r>
        <w:rPr>
          <w:u w:val="single"/>
        </w:rPr>
      </w:r>
      <w:r>
        <w:rPr>
          <w:u w:val="single"/>
        </w:rPr>
        <w:fldChar w:fldCharType="separate"/>
      </w:r>
      <w:r w:rsidR="005E349C">
        <w:rPr>
          <w:u w:val="single"/>
        </w:rPr>
        <w:t>5.2</w:t>
      </w:r>
      <w:r>
        <w:rPr>
          <w:u w:val="single"/>
        </w:rPr>
        <w:fldChar w:fldCharType="end"/>
      </w:r>
      <w:r>
        <w:t xml:space="preserve"> does not obligate an Investor unless:</w:t>
      </w:r>
      <w:bookmarkEnd w:id="19"/>
    </w:p>
    <w:p w14:paraId="25BBF0BC" w14:textId="77777777" w:rsidR="00A128DD" w:rsidRDefault="00000000">
      <w:pPr>
        <w:pStyle w:val="ListParagraph"/>
        <w:numPr>
          <w:ilvl w:val="2"/>
          <w:numId w:val="2"/>
        </w:numPr>
        <w:jc w:val="both"/>
      </w:pPr>
      <w:r>
        <w:t>the Investor is not required to make any representation or warranty other than as to its own title to its shares, its authority to sell them, and the absence of liens and conflicts;</w:t>
      </w:r>
    </w:p>
    <w:p w14:paraId="360F15EB" w14:textId="78EE90B1" w:rsidR="00A128DD" w:rsidRDefault="00000000">
      <w:pPr>
        <w:pStyle w:val="ListParagraph"/>
        <w:numPr>
          <w:ilvl w:val="2"/>
          <w:numId w:val="2"/>
        </w:numPr>
        <w:jc w:val="both"/>
      </w:pPr>
      <w:r>
        <w:t>the Investor’s liability is several and not joint, is limited to its proportionate share of the total liability, and does not exceed the proceeds it actually receives, except for its own fraud or breach of the representations described in clause (a);</w:t>
      </w:r>
    </w:p>
    <w:p w14:paraId="7BC8A5FE" w14:textId="77777777" w:rsidR="00A128DD" w:rsidRDefault="00000000">
      <w:pPr>
        <w:pStyle w:val="ListParagraph"/>
        <w:numPr>
          <w:ilvl w:val="2"/>
          <w:numId w:val="2"/>
        </w:numPr>
        <w:jc w:val="both"/>
      </w:pPr>
      <w:r>
        <w:t>the Investor is not required to agree to a non-compete, non-solicit or similar restriction on its activities;</w:t>
      </w:r>
    </w:p>
    <w:p w14:paraId="5B95085E" w14:textId="77777777" w:rsidR="00A128DD" w:rsidRDefault="00000000">
      <w:pPr>
        <w:pStyle w:val="ListParagraph"/>
        <w:numPr>
          <w:ilvl w:val="2"/>
          <w:numId w:val="2"/>
        </w:numPr>
        <w:jc w:val="both"/>
      </w:pPr>
      <w:r>
        <w:t>each holder of a given class or series receives the same form of consideration and the same amount per share, and the total proceeds are allocated in accordance with the Charter; and</w:t>
      </w:r>
    </w:p>
    <w:p w14:paraId="7F6EEB2A" w14:textId="57A61F90" w:rsidR="00A128DD" w:rsidRDefault="00000000">
      <w:pPr>
        <w:pStyle w:val="ListParagraph"/>
        <w:numPr>
          <w:ilvl w:val="2"/>
          <w:numId w:val="2"/>
        </w:numPr>
        <w:jc w:val="both"/>
      </w:pPr>
      <w:r>
        <w:t>the buyer is not an Affiliate of the Company or a holder of more than 10% of the Company’s voting power.</w:t>
      </w:r>
    </w:p>
    <w:p w14:paraId="1A2B3C99" w14:textId="12B97F44" w:rsidR="00A128DD" w:rsidRDefault="00000000" w:rsidP="005E349C">
      <w:pPr>
        <w:pStyle w:val="ListParagraph"/>
        <w:numPr>
          <w:ilvl w:val="1"/>
          <w:numId w:val="2"/>
        </w:numPr>
        <w:jc w:val="both"/>
      </w:pPr>
      <w:bookmarkStart w:id="20" w:name="_Ref300000001"/>
      <w:r w:rsidRPr="005E349C">
        <w:rPr>
          <w:u w:val="single"/>
        </w:rPr>
        <w:t>Right of First Refusal.</w:t>
      </w:r>
      <w:r>
        <w:t xml:space="preserve">  Before any Key Holder transfers any shares of the Company’s capital stock to a person other than the Company or an Affiliate of the Key Holder, the Key Holder will give the Company and each </w:t>
      </w:r>
      <w:r w:rsidR="005E349C">
        <w:t xml:space="preserve">Major </w:t>
      </w:r>
      <w:r>
        <w:t xml:space="preserve">Investor written notice of the proposed transfer, stating the number of shares, the price, and the identity of the proposed transferee. The Company then has the right, but not the obligation, to buy all or part of those shares on the same terms, by notifying the Key Holder in writing within 15 days after the Key Holder’s notice. If the Company does not buy </w:t>
      </w:r>
      <w:proofErr w:type="gramStart"/>
      <w:r>
        <w:t>all of</w:t>
      </w:r>
      <w:proofErr w:type="gramEnd"/>
      <w:r>
        <w:t xml:space="preserve"> the offered shares, each </w:t>
      </w:r>
      <w:r w:rsidR="005E349C">
        <w:t xml:space="preserve">Major </w:t>
      </w:r>
      <w:r>
        <w:t xml:space="preserve">Investor then has the right, but not the obligation, to buy its pro rata share of the rest, by notifying the Key Holder in writing within 10 days after the Company’s election period ends. </w:t>
      </w:r>
      <w:r w:rsidR="005E349C">
        <w:t xml:space="preserve">For purposes of this </w:t>
      </w:r>
      <w:r w:rsidR="005E349C" w:rsidRPr="005E349C">
        <w:rPr>
          <w:u w:val="single"/>
        </w:rPr>
        <w:t xml:space="preserve">Section </w:t>
      </w:r>
      <w:r w:rsidR="005E349C" w:rsidRPr="005E349C">
        <w:rPr>
          <w:u w:val="single"/>
        </w:rPr>
        <w:fldChar w:fldCharType="begin"/>
      </w:r>
      <w:r w:rsidR="005E349C" w:rsidRPr="005E349C">
        <w:rPr>
          <w:u w:val="single"/>
        </w:rPr>
        <w:instrText xml:space="preserve"> REF _Ref300000001 \r \h </w:instrText>
      </w:r>
      <w:r w:rsidR="005E349C" w:rsidRPr="005E349C">
        <w:rPr>
          <w:u w:val="single"/>
        </w:rPr>
      </w:r>
      <w:r w:rsidR="005E349C" w:rsidRPr="005E349C">
        <w:rPr>
          <w:u w:val="single"/>
        </w:rPr>
        <w:fldChar w:fldCharType="separate"/>
      </w:r>
      <w:r w:rsidR="005E349C">
        <w:rPr>
          <w:u w:val="single"/>
        </w:rPr>
        <w:t>5.4</w:t>
      </w:r>
      <w:r w:rsidR="005E349C" w:rsidRPr="005E349C">
        <w:fldChar w:fldCharType="end"/>
      </w:r>
      <w:r w:rsidR="005E349C">
        <w:t>, a Major Investor’s pro rata share is calculated as (</w:t>
      </w:r>
      <w:proofErr w:type="spellStart"/>
      <w:r w:rsidR="005E349C">
        <w:t>i</w:t>
      </w:r>
      <w:proofErr w:type="spellEnd"/>
      <w:r w:rsidR="005E349C">
        <w:t xml:space="preserve">) the number of shares of Common Stock the Major Investor then holds divided by (ii) the number of shares of Common Stock held by all Major Investors (in each case assuming conversion or exercise of all exercisable or convertible securities of the Company).  </w:t>
      </w:r>
      <w:r>
        <w:t xml:space="preserve">If an Investor does not buy its full pro rata share, the other Investors may buy the unpurchased portion, allocated among them pro rata (or as they otherwise agree). If shares remain unbought after that, the Key Holder may sell them to the proposed transferee, on the same terms stated in the notice, within 90 days, subject to </w:t>
      </w:r>
      <w:r w:rsidRPr="005E349C">
        <w:rPr>
          <w:u w:val="single"/>
        </w:rPr>
        <w:t xml:space="preserve">Section </w:t>
      </w:r>
      <w:r w:rsidRPr="005E349C">
        <w:rPr>
          <w:u w:val="single"/>
        </w:rPr>
        <w:fldChar w:fldCharType="begin"/>
      </w:r>
      <w:r w:rsidRPr="005E349C">
        <w:rPr>
          <w:u w:val="single"/>
        </w:rPr>
        <w:instrText xml:space="preserve"> REF _Ref239585077 \r \h </w:instrText>
      </w:r>
      <w:r w:rsidRPr="005E349C">
        <w:rPr>
          <w:u w:val="single"/>
        </w:rPr>
      </w:r>
      <w:r w:rsidRPr="005E349C">
        <w:rPr>
          <w:u w:val="single"/>
        </w:rPr>
        <w:fldChar w:fldCharType="separate"/>
      </w:r>
      <w:r w:rsidR="005E349C">
        <w:rPr>
          <w:u w:val="single"/>
        </w:rPr>
        <w:t>5.5</w:t>
      </w:r>
      <w:r w:rsidRPr="005E349C">
        <w:rPr>
          <w:u w:val="single"/>
        </w:rPr>
        <w:fldChar w:fldCharType="end"/>
      </w:r>
      <w:r>
        <w:t xml:space="preserve">. This </w:t>
      </w:r>
      <w:r w:rsidRPr="005E349C">
        <w:rPr>
          <w:u w:val="single"/>
        </w:rPr>
        <w:t xml:space="preserve">Section </w:t>
      </w:r>
      <w:r w:rsidRPr="005E349C">
        <w:rPr>
          <w:u w:val="single"/>
        </w:rPr>
        <w:fldChar w:fldCharType="begin"/>
      </w:r>
      <w:r w:rsidRPr="005E349C">
        <w:rPr>
          <w:u w:val="single"/>
        </w:rPr>
        <w:instrText xml:space="preserve"> REF _Ref300000001 \r \h </w:instrText>
      </w:r>
      <w:r w:rsidRPr="005E349C">
        <w:rPr>
          <w:u w:val="single"/>
        </w:rPr>
      </w:r>
      <w:r w:rsidRPr="005E349C">
        <w:rPr>
          <w:u w:val="single"/>
        </w:rPr>
        <w:fldChar w:fldCharType="separate"/>
      </w:r>
      <w:r w:rsidR="005E349C">
        <w:rPr>
          <w:u w:val="single"/>
        </w:rPr>
        <w:t>5.4</w:t>
      </w:r>
      <w:r w:rsidRPr="005E349C">
        <w:rPr>
          <w:u w:val="single"/>
        </w:rPr>
        <w:fldChar w:fldCharType="end"/>
      </w:r>
      <w:r>
        <w:t xml:space="preserve"> does not apply a transfer under </w:t>
      </w:r>
      <w:r w:rsidRPr="005E349C">
        <w:rPr>
          <w:u w:val="single"/>
        </w:rPr>
        <w:t xml:space="preserve">Section </w:t>
      </w:r>
      <w:r w:rsidRPr="005E349C">
        <w:rPr>
          <w:u w:val="single"/>
        </w:rPr>
        <w:fldChar w:fldCharType="begin"/>
      </w:r>
      <w:r w:rsidRPr="005E349C">
        <w:rPr>
          <w:u w:val="single"/>
        </w:rPr>
        <w:instrText xml:space="preserve"> REF _Ref239584675 \r \h </w:instrText>
      </w:r>
      <w:r w:rsidRPr="005E349C">
        <w:rPr>
          <w:u w:val="single"/>
        </w:rPr>
      </w:r>
      <w:r w:rsidRPr="005E349C">
        <w:rPr>
          <w:u w:val="single"/>
        </w:rPr>
        <w:fldChar w:fldCharType="separate"/>
      </w:r>
      <w:r w:rsidR="005E349C">
        <w:rPr>
          <w:u w:val="single"/>
        </w:rPr>
        <w:t>5.2</w:t>
      </w:r>
      <w:r w:rsidRPr="005E349C">
        <w:rPr>
          <w:u w:val="single"/>
        </w:rPr>
        <w:fldChar w:fldCharType="end"/>
      </w:r>
      <w:r>
        <w:t>.</w:t>
      </w:r>
      <w:bookmarkEnd w:id="20"/>
    </w:p>
    <w:p w14:paraId="1A2B3C01" w14:textId="318D6E48" w:rsidR="00A128DD" w:rsidRDefault="00000000">
      <w:pPr>
        <w:pStyle w:val="ListParagraph"/>
        <w:numPr>
          <w:ilvl w:val="1"/>
          <w:numId w:val="2"/>
        </w:numPr>
        <w:jc w:val="both"/>
      </w:pPr>
      <w:bookmarkStart w:id="21" w:name="_Ref239585077"/>
      <w:r>
        <w:rPr>
          <w:u w:val="single"/>
        </w:rPr>
        <w:t>Co-Sale Right.</w:t>
      </w:r>
      <w:r>
        <w:t xml:space="preserve">  Before any Key Holder transfers any shares of the Company’s capital stock to a person other than the Company or an Affiliate of the Key Holder, the Key Holder will give each Investor written notice of the proposed transfer, stating the number of shares, the price, and the identity of the proposed transferee. Each Investor then has the right, but not the obligation, to sell in that transfer, on the same terms and at the same price, a number of shares equal to the product of (a) the number of shares the Key Holder proposes to transfer and (b) a fraction, the numerator of which is the number of shares of Common Stock the Investor then holds or could then acquire on conversion of its Shares, and the denominator of which is the sum of that number and the number of shares of Common Stock the Key Holder then holds, by notifying the Key Holder in writing within 15 days after the Key Holder’s notice. If an Investor exercises this right, the Key Holder may transfer to the proposed transferee only the portion of its shares the </w:t>
      </w:r>
      <w:r>
        <w:lastRenderedPageBreak/>
        <w:t xml:space="preserve">participating Investors did not elect to sell, unless the proposed transferee agrees to buy the additional shares the Investors elected to include. This </w:t>
      </w:r>
      <w:r>
        <w:rPr>
          <w:u w:val="single"/>
        </w:rPr>
        <w:t xml:space="preserve">Section </w:t>
      </w:r>
      <w:r>
        <w:rPr>
          <w:u w:val="single"/>
        </w:rPr>
        <w:fldChar w:fldCharType="begin"/>
      </w:r>
      <w:r>
        <w:rPr>
          <w:u w:val="single"/>
        </w:rPr>
        <w:instrText xml:space="preserve"> REF _Ref239585077 \r \h  \* MERGEFORMAT </w:instrText>
      </w:r>
      <w:r>
        <w:rPr>
          <w:u w:val="single"/>
        </w:rPr>
      </w:r>
      <w:r>
        <w:rPr>
          <w:u w:val="single"/>
        </w:rPr>
        <w:fldChar w:fldCharType="separate"/>
      </w:r>
      <w:r w:rsidR="005E349C">
        <w:rPr>
          <w:u w:val="single"/>
        </w:rPr>
        <w:t>5.5</w:t>
      </w:r>
      <w:r>
        <w:fldChar w:fldCharType="end"/>
      </w:r>
      <w:r>
        <w:t xml:space="preserve"> does not apply to a transfer under </w:t>
      </w:r>
      <w:r>
        <w:rPr>
          <w:u w:val="single"/>
        </w:rPr>
        <w:t xml:space="preserve">Section </w:t>
      </w:r>
      <w:r>
        <w:rPr>
          <w:u w:val="single"/>
        </w:rPr>
        <w:fldChar w:fldCharType="begin"/>
      </w:r>
      <w:r>
        <w:rPr>
          <w:u w:val="single"/>
        </w:rPr>
        <w:instrText xml:space="preserve"> REF _Ref239585145 \r \h </w:instrText>
      </w:r>
      <w:r>
        <w:rPr>
          <w:u w:val="single"/>
        </w:rPr>
      </w:r>
      <w:r>
        <w:rPr>
          <w:u w:val="single"/>
        </w:rPr>
        <w:fldChar w:fldCharType="separate"/>
      </w:r>
      <w:r w:rsidR="005E349C">
        <w:rPr>
          <w:u w:val="single"/>
        </w:rPr>
        <w:t>5.1</w:t>
      </w:r>
      <w:r>
        <w:rPr>
          <w:u w:val="single"/>
        </w:rPr>
        <w:fldChar w:fldCharType="end"/>
      </w:r>
      <w:r>
        <w:t xml:space="preserve"> or </w:t>
      </w:r>
      <w:r>
        <w:rPr>
          <w:u w:val="single"/>
        </w:rPr>
        <w:t xml:space="preserve">Section </w:t>
      </w:r>
      <w:r>
        <w:rPr>
          <w:u w:val="single"/>
        </w:rPr>
        <w:fldChar w:fldCharType="begin"/>
      </w:r>
      <w:r>
        <w:rPr>
          <w:u w:val="single"/>
        </w:rPr>
        <w:instrText xml:space="preserve"> REF _Ref239584675 \r \h </w:instrText>
      </w:r>
      <w:r>
        <w:rPr>
          <w:u w:val="single"/>
        </w:rPr>
      </w:r>
      <w:r>
        <w:rPr>
          <w:u w:val="single"/>
        </w:rPr>
        <w:fldChar w:fldCharType="separate"/>
      </w:r>
      <w:r w:rsidR="005E349C">
        <w:rPr>
          <w:u w:val="single"/>
        </w:rPr>
        <w:t>5.2</w:t>
      </w:r>
      <w:r>
        <w:rPr>
          <w:u w:val="single"/>
        </w:rPr>
        <w:fldChar w:fldCharType="end"/>
      </w:r>
      <w:r>
        <w:t>.</w:t>
      </w:r>
      <w:bookmarkEnd w:id="21"/>
    </w:p>
    <w:p w14:paraId="167ECF88" w14:textId="77777777" w:rsidR="00A128DD" w:rsidRDefault="00000000">
      <w:pPr>
        <w:pStyle w:val="ListParagraph"/>
        <w:numPr>
          <w:ilvl w:val="0"/>
          <w:numId w:val="2"/>
        </w:numPr>
        <w:jc w:val="both"/>
      </w:pPr>
      <w:bookmarkStart w:id="22" w:name="_Ref239585468"/>
      <w:r>
        <w:rPr>
          <w:u w:val="single"/>
        </w:rPr>
        <w:t>The Company’s Representations.</w:t>
      </w:r>
      <w:bookmarkEnd w:id="22"/>
    </w:p>
    <w:p w14:paraId="19EC4F74" w14:textId="3EB2E932" w:rsidR="00A128DD" w:rsidRDefault="00000000">
      <w:pPr>
        <w:ind w:firstLine="720"/>
        <w:jc w:val="both"/>
      </w:pPr>
      <w:r>
        <w:t xml:space="preserve">The Company represents to each Investor that the following statements are true and complete as of the date of each Closing, except as set out on the Disclosure Schedule in </w:t>
      </w:r>
      <w:r>
        <w:rPr>
          <w:u w:val="single"/>
        </w:rPr>
        <w:t>Exhibit E</w:t>
      </w:r>
      <w:r>
        <w:t xml:space="preserve">. If there is no </w:t>
      </w:r>
      <w:r>
        <w:rPr>
          <w:u w:val="single"/>
        </w:rPr>
        <w:t>Exhibit E</w:t>
      </w:r>
      <w:r>
        <w:t>, there are no exceptions.</w:t>
      </w:r>
    </w:p>
    <w:p w14:paraId="19B0CDB7" w14:textId="77777777" w:rsidR="00A128DD" w:rsidRDefault="00000000">
      <w:pPr>
        <w:pStyle w:val="ListParagraph"/>
        <w:numPr>
          <w:ilvl w:val="1"/>
          <w:numId w:val="2"/>
        </w:numPr>
        <w:jc w:val="both"/>
      </w:pPr>
      <w:r>
        <w:rPr>
          <w:u w:val="single"/>
        </w:rPr>
        <w:t>The Company.</w:t>
      </w:r>
      <w:r>
        <w:t xml:space="preserve">  The Company is a corporation duly organized, validly existing and in good standing under Delaware law. It has all corporate power and authority needed to run its business as it is now run and as it plans to run it, and to sign, deliver and perform the Transaction Documents. It is qualified to do business in every jurisdiction where failing to qualify would have a material adverse effect on its business, assets, liabilities, financial condition or results of operations.</w:t>
      </w:r>
    </w:p>
    <w:p w14:paraId="2ED09E47" w14:textId="074BCCC2" w:rsidR="00A128DD" w:rsidRDefault="00000000">
      <w:pPr>
        <w:pStyle w:val="ListParagraph"/>
        <w:numPr>
          <w:ilvl w:val="1"/>
          <w:numId w:val="2"/>
        </w:numPr>
        <w:jc w:val="both"/>
      </w:pPr>
      <w:r>
        <w:rPr>
          <w:u w:val="single"/>
        </w:rPr>
        <w:t>Capitalization.</w:t>
      </w:r>
      <w:r>
        <w:t xml:space="preserve">  </w:t>
      </w:r>
      <w:r>
        <w:rPr>
          <w:u w:val="single"/>
        </w:rPr>
        <w:t>Exhibit F</w:t>
      </w:r>
      <w:r>
        <w:t xml:space="preserve"> sets out the Company’s authorized and outstanding capital stock immediately before the Initial Closing, including every outstanding option, warrant, safe, convertible note and other right to acquire Company securities, every share reserved under the Company’s equity incentive plans, and the vesting terms of every outstanding equity award and share of restricted stock. </w:t>
      </w:r>
      <w:r>
        <w:rPr>
          <w:u w:val="single"/>
        </w:rPr>
        <w:t>Exhibit F</w:t>
      </w:r>
      <w:r>
        <w:t xml:space="preserve"> is accurate and complete. All outstanding shares were duly authorized and validly issued, are fully paid and nonassessable, and were issued in compliance with applicable securities laws or an available exemption. Other than what </w:t>
      </w:r>
      <w:r>
        <w:rPr>
          <w:u w:val="single"/>
        </w:rPr>
        <w:t>Exhibit F</w:t>
      </w:r>
      <w:r>
        <w:t xml:space="preserve"> shows and what this Agreement creates, there are no options, warrants, preemptive or other rights to acquire Company securities, and no voting agreements, transfer restrictions or registration rights covering Company securities.</w:t>
      </w:r>
    </w:p>
    <w:p w14:paraId="1454D77F" w14:textId="77777777" w:rsidR="00A128DD" w:rsidRDefault="00000000">
      <w:pPr>
        <w:pStyle w:val="ListParagraph"/>
        <w:numPr>
          <w:ilvl w:val="1"/>
          <w:numId w:val="2"/>
        </w:numPr>
        <w:jc w:val="both"/>
      </w:pPr>
      <w:r>
        <w:rPr>
          <w:u w:val="single"/>
        </w:rPr>
        <w:t>Authorization.</w:t>
      </w:r>
      <w:r>
        <w:t xml:space="preserve">  The Company has taken, or before the Initial Closing will take, all corporate action needed to authorize, sign, deliver and perform the Transaction Documents and to issue the Shares. Each Transaction Document, when signed and delivered by the Company, will be a valid and binding obligation of the Company, enforceable against it in accordance with its terms, subject to bankruptcy, insolvency and similar laws affecting creditors’ rights generally and to the limits on specific performance and other equitable remedies.</w:t>
      </w:r>
    </w:p>
    <w:p w14:paraId="15DBE47A" w14:textId="77777777" w:rsidR="00A128DD" w:rsidRDefault="00000000">
      <w:pPr>
        <w:pStyle w:val="ListParagraph"/>
        <w:numPr>
          <w:ilvl w:val="1"/>
          <w:numId w:val="2"/>
        </w:numPr>
        <w:jc w:val="both"/>
      </w:pPr>
      <w:r>
        <w:rPr>
          <w:u w:val="single"/>
        </w:rPr>
        <w:t>The Shares.</w:t>
      </w:r>
      <w:r>
        <w:t xml:space="preserve">  The Shares, when issued and paid for in accordance with this Agreement, will be duly authorized, validly issued, fully paid and nonassessable, and free of transfer restrictions other than those in the Transaction Documents, those imposed by securities laws, and those created by the Investor. The Common Stock issuable on conversion of the Shares has been duly reserved and, when issued, will be duly authorized, validly issued, fully paid and nonassessable. Based in part on the Investors’ representations in Section 7, and subject to any required filings under Regulation D and applicable state securities laws, the offer, sale and issuance of the Shares and the Common Stock issuable on their conversion are exempt from registration under the Securities Act and comply with applicable federal and state securities laws.</w:t>
      </w:r>
    </w:p>
    <w:p w14:paraId="2FD8DEC8" w14:textId="77777777" w:rsidR="00A128DD" w:rsidRDefault="00000000">
      <w:pPr>
        <w:pStyle w:val="ListParagraph"/>
        <w:numPr>
          <w:ilvl w:val="1"/>
          <w:numId w:val="2"/>
        </w:numPr>
        <w:jc w:val="both"/>
      </w:pPr>
      <w:r>
        <w:rPr>
          <w:u w:val="single"/>
        </w:rPr>
        <w:t>No conflicts.</w:t>
      </w:r>
      <w:r>
        <w:t xml:space="preserve">  The Company is not in violation or default of the Charter or its bylaws, of any judgment or order of a court or governmental body that applies to it, or of any material agreement to which it is a party. Signing, delivering and performing the Transaction </w:t>
      </w:r>
      <w:r>
        <w:lastRenderedPageBreak/>
        <w:t>Documents, and closing the transactions they contemplate, will not cause any such violation or default, create any lien on the Company’s assets, or cause the suspension, revocation or non-renewal of any material permit or license.</w:t>
      </w:r>
    </w:p>
    <w:p w14:paraId="2DE77CEB" w14:textId="77777777" w:rsidR="00A128DD" w:rsidRDefault="00000000">
      <w:pPr>
        <w:pStyle w:val="ListParagraph"/>
        <w:numPr>
          <w:ilvl w:val="1"/>
          <w:numId w:val="2"/>
        </w:numPr>
        <w:jc w:val="both"/>
      </w:pPr>
      <w:r>
        <w:rPr>
          <w:u w:val="single"/>
        </w:rPr>
        <w:t>Litigation.</w:t>
      </w:r>
      <w:r>
        <w:t xml:space="preserve">  There is no action, suit, proceeding, arbitration, mediation, claim or investigation pending, or to the Company’s knowledge threatened in writing, against the Company, or against any officer, director, employee or key consultant of the Company arising out of their relationship with the Company.</w:t>
      </w:r>
    </w:p>
    <w:p w14:paraId="24B00A2E" w14:textId="77777777" w:rsidR="00A128DD" w:rsidRDefault="00000000">
      <w:pPr>
        <w:pStyle w:val="ListParagraph"/>
        <w:numPr>
          <w:ilvl w:val="1"/>
          <w:numId w:val="2"/>
        </w:numPr>
        <w:jc w:val="both"/>
      </w:pPr>
      <w:r>
        <w:rPr>
          <w:u w:val="single"/>
        </w:rPr>
        <w:t>Intellectual property.</w:t>
      </w:r>
      <w:r>
        <w:t xml:space="preserve">  To its knowledge, and without having conducted any patent or trademark search, the Company owns or has the right to use all patents, trademarks, service marks, trade names, domain names, copyrights, trade secrets and other intellectual property it needs to run its business as it is now run and as it plans to run it, without infringing anyone else’s rights. The Company has not received written notice claiming that it infringes anyone’s intellectual property. Other than non-exclusive licenses of the Company’s products granted in the ordinary course, generally available off-the-shelf software licensed to the Company, and open source licenses, there are no licenses, options, encumbrances or shared-ownership arrangements covering the Company’s intellectual property.</w:t>
      </w:r>
    </w:p>
    <w:p w14:paraId="10835324" w14:textId="28349C20" w:rsidR="00A128DD" w:rsidRDefault="00000000">
      <w:pPr>
        <w:pStyle w:val="ListParagraph"/>
        <w:numPr>
          <w:ilvl w:val="1"/>
          <w:numId w:val="2"/>
        </w:numPr>
        <w:jc w:val="both"/>
      </w:pPr>
      <w:r>
        <w:rPr>
          <w:u w:val="single"/>
        </w:rPr>
        <w:t>Employees and consultants.</w:t>
      </w:r>
      <w:r>
        <w:t xml:space="preserve">  Every current and former employee, officer, consultant and contractor of the Company has signed a confidentiality and invention assignment agreement in substantially the form provided to the Investors, assigning to the Company all intellectual property they develop for it. To the Company’s knowledge, no one is in breach of that agreement, and no employee or consultant is subject to any agreement or order that conflicts with the Company’s business or with their work for the Company. The Company does not need to use any invention any of its employees made before, or outside the scope of, their work for the Company. Everyone who bought unvested Company stock has timely filed an election under Section 83(b) of the Internal Revenue Code.  The Company is not delinquent in paying any wages, salaries, commissions, bonuses or reimbursements owed to its employees, consultants or contractors.</w:t>
      </w:r>
    </w:p>
    <w:p w14:paraId="19194A0C" w14:textId="43067DBD" w:rsidR="00A128DD" w:rsidRDefault="00000000">
      <w:pPr>
        <w:pStyle w:val="ListParagraph"/>
        <w:numPr>
          <w:ilvl w:val="1"/>
          <w:numId w:val="2"/>
        </w:numPr>
        <w:jc w:val="both"/>
      </w:pPr>
      <w:r>
        <w:rPr>
          <w:u w:val="single"/>
        </w:rPr>
        <w:t>Agreements and liabilities.</w:t>
      </w:r>
      <w:r>
        <w:t xml:space="preserve">  The Company is not a party to any agreement that involves payments or contingent obligations of more than $25,000, any material license of intellectual property to or from the Company other than the exceptions described in Section 6.7, or any restriction on developing, making or selling the Company’s products or services. The Company has no liabilities, contingent or otherwise, of more than $25,000 individually or $50,000 in total, other than those shown on </w:t>
      </w:r>
      <w:r>
        <w:rPr>
          <w:u w:val="single"/>
        </w:rPr>
        <w:t>Exhibit E</w:t>
      </w:r>
      <w:r>
        <w:t xml:space="preserve"> or incurred in the ordinary course of business since the date of the most recent financial statements the Company gave the Investors.</w:t>
      </w:r>
    </w:p>
    <w:p w14:paraId="7A3A6A26" w14:textId="77777777" w:rsidR="00A128DD" w:rsidRDefault="00000000">
      <w:pPr>
        <w:pStyle w:val="ListParagraph"/>
        <w:numPr>
          <w:ilvl w:val="1"/>
          <w:numId w:val="2"/>
        </w:numPr>
        <w:jc w:val="both"/>
      </w:pPr>
      <w:r>
        <w:rPr>
          <w:u w:val="single"/>
        </w:rPr>
        <w:t>Subsidiaries.</w:t>
      </w:r>
      <w:r>
        <w:t xml:space="preserve">  The Company does not own or control any interest in any other entity and is not a party to any joint venture or partnership.</w:t>
      </w:r>
    </w:p>
    <w:p w14:paraId="2E07320F" w14:textId="77777777" w:rsidR="00A128DD" w:rsidRDefault="00000000">
      <w:pPr>
        <w:pStyle w:val="ListParagraph"/>
        <w:numPr>
          <w:ilvl w:val="1"/>
          <w:numId w:val="2"/>
        </w:numPr>
        <w:jc w:val="both"/>
      </w:pPr>
      <w:r>
        <w:rPr>
          <w:u w:val="single"/>
        </w:rPr>
        <w:t>Compliance with law.</w:t>
      </w:r>
      <w:r>
        <w:t xml:space="preserve">  To its knowledge, the Company is in compliance in all material respects with the laws that apply to it, including those governing employment, wages, hours, worker classification and equal employment opportunity, and it has withheld and paid over all amounts required to be withheld from employee compensation.</w:t>
      </w:r>
    </w:p>
    <w:p w14:paraId="651845D5" w14:textId="4BEB305C" w:rsidR="00A128DD" w:rsidRDefault="00000000">
      <w:pPr>
        <w:pStyle w:val="ListParagraph"/>
        <w:numPr>
          <w:ilvl w:val="1"/>
          <w:numId w:val="2"/>
        </w:numPr>
        <w:jc w:val="both"/>
      </w:pPr>
      <w:r>
        <w:rPr>
          <w:u w:val="single"/>
        </w:rPr>
        <w:lastRenderedPageBreak/>
        <w:t>No Finder’s Fee.</w:t>
      </w:r>
      <w:r>
        <w:t xml:space="preserve">  The Company is not obligated to pay any finder’s or broker’s fee in connection with this financing, and will indemnify each Investor against any claim for such a fee for which the Company or its representatives are responsible. Each Investor will indemnify the Company against any claim for such a fee for which that Investor or its representatives are responsible.</w:t>
      </w:r>
    </w:p>
    <w:p w14:paraId="6F3BFB28" w14:textId="77777777" w:rsidR="00A128DD" w:rsidRDefault="00000000">
      <w:pPr>
        <w:pStyle w:val="ListParagraph"/>
        <w:numPr>
          <w:ilvl w:val="0"/>
          <w:numId w:val="2"/>
        </w:numPr>
        <w:jc w:val="both"/>
      </w:pPr>
      <w:r>
        <w:rPr>
          <w:u w:val="single"/>
        </w:rPr>
        <w:t>The Investors’ Representations.</w:t>
      </w:r>
    </w:p>
    <w:p w14:paraId="6B1F1441" w14:textId="77777777" w:rsidR="00A128DD" w:rsidRDefault="00000000">
      <w:pPr>
        <w:ind w:firstLine="720"/>
        <w:jc w:val="both"/>
      </w:pPr>
      <w:r>
        <w:t>Each Investor represents to the Company, for itself only and not on behalf of any other Investor, that the following statements are true as of each Closing at which it buys Shares.</w:t>
      </w:r>
    </w:p>
    <w:p w14:paraId="22590304" w14:textId="77777777" w:rsidR="00A128DD" w:rsidRDefault="00000000">
      <w:pPr>
        <w:pStyle w:val="ListParagraph"/>
        <w:numPr>
          <w:ilvl w:val="1"/>
          <w:numId w:val="2"/>
        </w:numPr>
        <w:jc w:val="both"/>
      </w:pPr>
      <w:r>
        <w:rPr>
          <w:u w:val="single"/>
        </w:rPr>
        <w:t>Authority.</w:t>
      </w:r>
      <w:r>
        <w:t xml:space="preserve">  The Investor has full power and authority to sign, deliver and perform this Agreement, and this Agreement is a valid and binding obligation of the Investor, enforceable in accordance with its terms, subject to bankruptcy, insolvency and similar laws affecting creditors’ rights generally and to the limits on equitable remedies.</w:t>
      </w:r>
    </w:p>
    <w:p w14:paraId="4BD57E9A" w14:textId="26B5042F" w:rsidR="00A128DD" w:rsidRDefault="00000000">
      <w:pPr>
        <w:pStyle w:val="ListParagraph"/>
        <w:numPr>
          <w:ilvl w:val="1"/>
          <w:numId w:val="2"/>
        </w:numPr>
        <w:jc w:val="both"/>
      </w:pPr>
      <w:r>
        <w:rPr>
          <w:u w:val="single"/>
        </w:rPr>
        <w:t>Buying for Itself.</w:t>
      </w:r>
      <w:r>
        <w:t xml:space="preserve">  The Investor is buying the Shares for its own account, for investment, not as a nominee or agent, and not with a view to reselling or distributing them. The Investor has no agreement or arrangement with anyone to sell or transfer the Shares or to grant anyone a participation in them, and Investor was not formed for the purpose of buying the Shares.</w:t>
      </w:r>
    </w:p>
    <w:p w14:paraId="5866C517" w14:textId="63F7D87F" w:rsidR="00A128DD" w:rsidRDefault="00000000">
      <w:pPr>
        <w:pStyle w:val="ListParagraph"/>
        <w:numPr>
          <w:ilvl w:val="1"/>
          <w:numId w:val="2"/>
        </w:numPr>
        <w:jc w:val="both"/>
      </w:pPr>
      <w:r>
        <w:rPr>
          <w:u w:val="single"/>
        </w:rPr>
        <w:t>Accredited Investor.</w:t>
      </w:r>
      <w:r>
        <w:t xml:space="preserve">  The Investor is an accredited investor as defined in Rule 501(a) under the Securities Act, and will give the Company reasonable information to confirm that if the Company asks.</w:t>
      </w:r>
    </w:p>
    <w:p w14:paraId="79A3F9D0" w14:textId="7528CD5B" w:rsidR="00A128DD" w:rsidRDefault="00000000">
      <w:pPr>
        <w:pStyle w:val="ListParagraph"/>
        <w:numPr>
          <w:ilvl w:val="1"/>
          <w:numId w:val="2"/>
        </w:numPr>
        <w:jc w:val="both"/>
      </w:pPr>
      <w:r>
        <w:rPr>
          <w:u w:val="single"/>
        </w:rPr>
        <w:t>Restricted Securities.</w:t>
      </w:r>
      <w:r>
        <w:t xml:space="preserve">  The Investor understands that the Shares have not been and will not be registered under the Securities Act, and are being sold in reliance on an exemption that depends in part on the accuracy of the Investor’s representations in this Section 7. The Shares are restricted securities, and the Investor has to hold them indefinitely unless they are registered or an exemption from registration is available. The Company has no obligation to register the Shares. An available exemption may depend on conditions outside the Investor’s control, including holding periods and requirements the Company is under no obligation to satisfy. The Investor understands that no public market exists for the Shares and that the Company has not promised one ever will.</w:t>
      </w:r>
    </w:p>
    <w:p w14:paraId="22B3A76F" w14:textId="77777777" w:rsidR="00A128DD" w:rsidRDefault="00000000">
      <w:pPr>
        <w:pStyle w:val="ListParagraph"/>
        <w:numPr>
          <w:ilvl w:val="1"/>
          <w:numId w:val="2"/>
        </w:numPr>
        <w:jc w:val="both"/>
      </w:pPr>
      <w:r>
        <w:rPr>
          <w:u w:val="single"/>
        </w:rPr>
        <w:t>Legends.</w:t>
      </w:r>
      <w:r>
        <w:t xml:space="preserve">  The Investor understands that the Shares, and any security issued in exchange for or in respect of them, may carry any legend required by this Agreement or by applicable state securities law, and the following legend:</w:t>
      </w:r>
    </w:p>
    <w:p w14:paraId="612B255D" w14:textId="77777777" w:rsidR="00A128DD" w:rsidRDefault="00000000">
      <w:pPr>
        <w:ind w:left="1440" w:right="1440"/>
        <w:jc w:val="both"/>
      </w:pPr>
      <w:r>
        <w:t xml:space="preserve">“THE SHARES REPRESENTED BY THIS CERTIFICATE HAVE NOT BEEN REGISTERED UNDER THE SECURITIES ACT OF 1933, AS AMENDED, AND HAVE BEEN ACQUIRED FOR INVESTMENT AND NOT WITH A VIEW TO, OR IN CONNECTION WITH, THE SALE OR DISTRIBUTION THEREOF. NO TRANSFER MAY BE EFFECTED WITHOUT AN EFFECTIVE REGISTRATION STATEMENT RELATED THERETO OR AN OPINION OF COUNSEL IN A FORM REASONABLY SATISFACTORY TO THE COMPANY THAT </w:t>
      </w:r>
      <w:r>
        <w:lastRenderedPageBreak/>
        <w:t>SUCH REGISTRATION IS NOT REQUIRED UNDER THE SECURITIES ACT OF 1933, AS AMENDED.”</w:t>
      </w:r>
    </w:p>
    <w:p w14:paraId="4F454B08" w14:textId="74F0E3C2" w:rsidR="00A128DD" w:rsidRDefault="00000000">
      <w:pPr>
        <w:pStyle w:val="ListParagraph"/>
        <w:numPr>
          <w:ilvl w:val="1"/>
          <w:numId w:val="2"/>
        </w:numPr>
        <w:jc w:val="both"/>
      </w:pPr>
      <w:r>
        <w:rPr>
          <w:u w:val="single"/>
        </w:rPr>
        <w:t>Sophistication and Risk.</w:t>
      </w:r>
      <w:r>
        <w:t xml:space="preserve">  The Investor has had an opportunity to ask the Company’s management questions about the Company’s business, management, financial condition and the terms of this offering, and has received the information it asked for. The Investor has enough knowledge and experience in financial and business matters to evaluate the merits and risks of this investment, and can bear a complete loss of it. Nothing in this Section 7 limits the Company’s representations in Section 6 or any Investor’s right to rely on them.</w:t>
      </w:r>
    </w:p>
    <w:p w14:paraId="305C617A" w14:textId="19253C6D" w:rsidR="00A128DD" w:rsidRDefault="00000000">
      <w:pPr>
        <w:pStyle w:val="ListParagraph"/>
        <w:numPr>
          <w:ilvl w:val="1"/>
          <w:numId w:val="2"/>
        </w:numPr>
        <w:jc w:val="both"/>
      </w:pPr>
      <w:r>
        <w:rPr>
          <w:u w:val="single"/>
        </w:rPr>
        <w:t>No Reliance on Other Investors.</w:t>
      </w:r>
      <w:r>
        <w:t xml:space="preserve">  The Investor is relying only on the Company and its officers and directors in deciding to invest. No Investor, and no controlling person, officer, director, partner, agent or employee of an Investor, is liable to any other Investor for anything done or not done in connection with the purchase of the Shares.</w:t>
      </w:r>
    </w:p>
    <w:p w14:paraId="63144A8D" w14:textId="3B23E174" w:rsidR="00A128DD" w:rsidRDefault="00000000">
      <w:pPr>
        <w:pStyle w:val="ListParagraph"/>
        <w:numPr>
          <w:ilvl w:val="1"/>
          <w:numId w:val="2"/>
        </w:numPr>
        <w:jc w:val="both"/>
      </w:pPr>
      <w:r>
        <w:rPr>
          <w:u w:val="single"/>
        </w:rPr>
        <w:t>No General Solicitation.</w:t>
      </w:r>
      <w:r>
        <w:t xml:space="preserve">  The Investor did not learn of this offering through any general solicitation or general advertising, and neither the Investor nor anyone acting on its behalf has engaged in any general solicitation, or published any advertisement, in connection with the Shares.</w:t>
      </w:r>
    </w:p>
    <w:p w14:paraId="1C7CFD22" w14:textId="249BCB9E" w:rsidR="00A128DD" w:rsidRDefault="00000000">
      <w:pPr>
        <w:pStyle w:val="ListParagraph"/>
        <w:numPr>
          <w:ilvl w:val="1"/>
          <w:numId w:val="2"/>
        </w:numPr>
        <w:jc w:val="both"/>
      </w:pPr>
      <w:r>
        <w:rPr>
          <w:u w:val="single"/>
        </w:rPr>
        <w:t>Residence.</w:t>
      </w:r>
      <w:r>
        <w:t xml:space="preserve">  If the Investor is an individual, the Investor resides in the state shown in its address on </w:t>
      </w:r>
      <w:r>
        <w:rPr>
          <w:u w:val="single"/>
        </w:rPr>
        <w:t>Exhibit A</w:t>
      </w:r>
      <w:r>
        <w:t xml:space="preserve"> or its signature page. If the Investor is an entity, its principal place of business is at that address.</w:t>
      </w:r>
    </w:p>
    <w:p w14:paraId="0207C923" w14:textId="77777777" w:rsidR="00A128DD" w:rsidRDefault="00000000">
      <w:pPr>
        <w:pStyle w:val="ListParagraph"/>
        <w:numPr>
          <w:ilvl w:val="0"/>
          <w:numId w:val="2"/>
        </w:numPr>
        <w:jc w:val="both"/>
      </w:pPr>
      <w:r>
        <w:rPr>
          <w:u w:val="single"/>
        </w:rPr>
        <w:t>General.</w:t>
      </w:r>
    </w:p>
    <w:p w14:paraId="7FBBF7A3" w14:textId="33C15EC3" w:rsidR="00A128DD" w:rsidRDefault="00000000">
      <w:pPr>
        <w:pStyle w:val="ListParagraph"/>
        <w:numPr>
          <w:ilvl w:val="1"/>
          <w:numId w:val="2"/>
        </w:numPr>
        <w:jc w:val="both"/>
      </w:pPr>
      <w:r>
        <w:rPr>
          <w:u w:val="single"/>
        </w:rPr>
        <w:t>Changing this Agreement.</w:t>
      </w:r>
      <w:r>
        <w:t xml:space="preserve">  This Agreement may be amended, terminated or waived only in a writing signed by the Company and the Requisite Investors, and a change made that way binds every Investor, every Key Holder and every transferee. There are three exceptions. First, </w:t>
      </w:r>
      <w:r>
        <w:rPr>
          <w:u w:val="single"/>
        </w:rPr>
        <w:t xml:space="preserve">Section </w:t>
      </w:r>
      <w:r>
        <w:rPr>
          <w:u w:val="single"/>
        </w:rPr>
        <w:fldChar w:fldCharType="begin"/>
      </w:r>
      <w:r>
        <w:rPr>
          <w:u w:val="single"/>
        </w:rPr>
        <w:instrText xml:space="preserve"> REF _Ref239417853 \r \h  \* MERGEFORMAT </w:instrText>
      </w:r>
      <w:r>
        <w:rPr>
          <w:u w:val="single"/>
        </w:rPr>
      </w:r>
      <w:r>
        <w:rPr>
          <w:u w:val="single"/>
        </w:rPr>
        <w:fldChar w:fldCharType="separate"/>
      </w:r>
      <w:r w:rsidR="005E349C">
        <w:rPr>
          <w:u w:val="single"/>
        </w:rPr>
        <w:t>3</w:t>
      </w:r>
      <w:r>
        <w:rPr>
          <w:u w:val="single"/>
        </w:rPr>
        <w:fldChar w:fldCharType="end"/>
      </w:r>
      <w:r>
        <w:t xml:space="preserve"> (Pro Rata Rights) may not be amended, waived or terminated as to any Investor without that Investor’s written consent. Second, no amendment or waiver may treat one Investor materially worse than the other Investors, or increase an Investor’s obligation to invest money, without that Investor’s written consent. Third, any amendment or waiver that adversely affects the Key Holders as a group also requires the written consent of Key Holders holding a majority of the Common Stock then held by all Key Holders who are then providing services to the Company. Adding investors and Shares at an Additional Closing under Section </w:t>
      </w:r>
      <w:r>
        <w:fldChar w:fldCharType="begin"/>
      </w:r>
      <w:r>
        <w:instrText xml:space="preserve"> REF _Ref239417967 \r \h </w:instrText>
      </w:r>
      <w:r>
        <w:fldChar w:fldCharType="separate"/>
      </w:r>
      <w:r w:rsidR="005E349C">
        <w:t>2.4</w:t>
      </w:r>
      <w:r>
        <w:fldChar w:fldCharType="end"/>
      </w:r>
      <w:r>
        <w:t xml:space="preserve"> does not require an amendment (if Section </w:t>
      </w:r>
      <w:r>
        <w:fldChar w:fldCharType="begin"/>
      </w:r>
      <w:r>
        <w:instrText xml:space="preserve"> REF _Ref239417967 \r \h </w:instrText>
      </w:r>
      <w:r>
        <w:fldChar w:fldCharType="separate"/>
      </w:r>
      <w:r w:rsidR="005E349C">
        <w:t>2.4</w:t>
      </w:r>
      <w:r>
        <w:fldChar w:fldCharType="end"/>
      </w:r>
      <w:r>
        <w:t xml:space="preserve"> </w:t>
      </w:r>
      <w:proofErr w:type="spellStart"/>
      <w:r>
        <w:t>provies</w:t>
      </w:r>
      <w:proofErr w:type="spellEnd"/>
      <w:r>
        <w:t xml:space="preserve"> for Additional Closings.</w:t>
      </w:r>
    </w:p>
    <w:p w14:paraId="691823B2" w14:textId="72FE5BE7" w:rsidR="00A128DD" w:rsidRDefault="00000000">
      <w:pPr>
        <w:pStyle w:val="ListParagraph"/>
        <w:numPr>
          <w:ilvl w:val="1"/>
          <w:numId w:val="2"/>
        </w:numPr>
        <w:jc w:val="both"/>
      </w:pPr>
      <w:r>
        <w:rPr>
          <w:u w:val="single"/>
        </w:rPr>
        <w:t>When Rights End.</w:t>
      </w:r>
      <w:r>
        <w:t xml:space="preserve">  </w:t>
      </w:r>
      <w:r>
        <w:rPr>
          <w:u w:val="single"/>
        </w:rPr>
        <w:t xml:space="preserve">Section </w:t>
      </w:r>
      <w:r>
        <w:rPr>
          <w:u w:val="single"/>
        </w:rPr>
        <w:fldChar w:fldCharType="begin"/>
      </w:r>
      <w:r>
        <w:rPr>
          <w:u w:val="single"/>
        </w:rPr>
        <w:instrText xml:space="preserve"> REF _Ref239585349 \r \h  \* MERGEFORMAT </w:instrText>
      </w:r>
      <w:r>
        <w:rPr>
          <w:u w:val="single"/>
        </w:rPr>
      </w:r>
      <w:r>
        <w:rPr>
          <w:u w:val="single"/>
        </w:rPr>
        <w:fldChar w:fldCharType="separate"/>
      </w:r>
      <w:r w:rsidR="005E349C">
        <w:rPr>
          <w:u w:val="single"/>
        </w:rPr>
        <w:t>3</w:t>
      </w:r>
      <w:r>
        <w:rPr>
          <w:u w:val="single"/>
        </w:rPr>
        <w:fldChar w:fldCharType="end"/>
      </w:r>
      <w:r>
        <w:rPr>
          <w:u w:val="single"/>
        </w:rPr>
        <w:t>,</w:t>
      </w:r>
      <w:r>
        <w:t xml:space="preserve"> </w:t>
      </w:r>
      <w:r>
        <w:rPr>
          <w:u w:val="single"/>
        </w:rPr>
        <w:t xml:space="preserve">Section </w:t>
      </w:r>
      <w:r>
        <w:rPr>
          <w:u w:val="single"/>
        </w:rPr>
        <w:fldChar w:fldCharType="begin"/>
      </w:r>
      <w:r>
        <w:rPr>
          <w:u w:val="single"/>
        </w:rPr>
        <w:instrText xml:space="preserve"> REF _Ref239585520 \r \h  \* MERGEFORMAT </w:instrText>
      </w:r>
      <w:r>
        <w:rPr>
          <w:u w:val="single"/>
        </w:rPr>
      </w:r>
      <w:r>
        <w:rPr>
          <w:u w:val="single"/>
        </w:rPr>
        <w:fldChar w:fldCharType="separate"/>
      </w:r>
      <w:r w:rsidR="005E349C">
        <w:rPr>
          <w:u w:val="single"/>
        </w:rPr>
        <w:t>4</w:t>
      </w:r>
      <w:r>
        <w:rPr>
          <w:u w:val="single"/>
        </w:rPr>
        <w:fldChar w:fldCharType="end"/>
      </w:r>
      <w:r>
        <w:t>, and</w:t>
      </w:r>
      <w:r>
        <w:rPr>
          <w:u w:val="single"/>
        </w:rPr>
        <w:t xml:space="preserve"> Section </w:t>
      </w:r>
      <w:r>
        <w:rPr>
          <w:u w:val="single"/>
        </w:rPr>
        <w:fldChar w:fldCharType="begin"/>
      </w:r>
      <w:r>
        <w:rPr>
          <w:u w:val="single"/>
        </w:rPr>
        <w:instrText xml:space="preserve"> REF _Ref239585609 \r \h </w:instrText>
      </w:r>
      <w:r>
        <w:rPr>
          <w:u w:val="single"/>
        </w:rPr>
      </w:r>
      <w:r>
        <w:rPr>
          <w:u w:val="single"/>
        </w:rPr>
        <w:fldChar w:fldCharType="separate"/>
      </w:r>
      <w:r w:rsidR="005E349C">
        <w:rPr>
          <w:u w:val="single"/>
        </w:rPr>
        <w:t>5</w:t>
      </w:r>
      <w:r>
        <w:rPr>
          <w:u w:val="single"/>
        </w:rPr>
        <w:fldChar w:fldCharType="end"/>
      </w:r>
      <w:r>
        <w:t xml:space="preserve"> end at the earlier of the closing of an IPO and a Liquidity, except that </w:t>
      </w:r>
      <w:r>
        <w:rPr>
          <w:u w:val="single"/>
        </w:rPr>
        <w:t xml:space="preserve">Section </w:t>
      </w:r>
      <w:r>
        <w:rPr>
          <w:u w:val="single"/>
        </w:rPr>
        <w:fldChar w:fldCharType="begin"/>
      </w:r>
      <w:r>
        <w:rPr>
          <w:u w:val="single"/>
        </w:rPr>
        <w:instrText xml:space="preserve"> REF _Ref239585263 \r \h  \* MERGEFORMAT </w:instrText>
      </w:r>
      <w:r>
        <w:rPr>
          <w:u w:val="single"/>
        </w:rPr>
      </w:r>
      <w:r>
        <w:rPr>
          <w:u w:val="single"/>
        </w:rPr>
        <w:fldChar w:fldCharType="separate"/>
      </w:r>
      <w:r w:rsidR="005E349C">
        <w:rPr>
          <w:u w:val="single"/>
        </w:rPr>
        <w:t>4.3</w:t>
      </w:r>
      <w:r>
        <w:rPr>
          <w:u w:val="single"/>
        </w:rPr>
        <w:fldChar w:fldCharType="end"/>
      </w:r>
      <w:r>
        <w:t xml:space="preserve"> (Confidentiality) survives for as long as any confidential information remains non-public. The rest of this Agreement continues until the parties agree otherwise in writing. Termination of a Section does not affect any obligation that accrued before termination.</w:t>
      </w:r>
    </w:p>
    <w:p w14:paraId="5E1E619E" w14:textId="70BF7E6B" w:rsidR="00A128DD" w:rsidRPr="008920CB" w:rsidRDefault="00000000">
      <w:pPr>
        <w:pStyle w:val="ListParagraph"/>
        <w:numPr>
          <w:ilvl w:val="1"/>
          <w:numId w:val="2"/>
        </w:numPr>
        <w:jc w:val="both"/>
      </w:pPr>
      <w:bookmarkStart w:id="23" w:name="_Ref239585669"/>
      <w:bookmarkStart w:id="24" w:name="_Ref239418271"/>
      <w:r>
        <w:rPr>
          <w:u w:val="single"/>
        </w:rPr>
        <w:t>Successors and Transferees.</w:t>
      </w:r>
      <w:r>
        <w:t xml:space="preserve">  This Agreement binds and benefits the parties and their respective successors, permitted transferees, heirs, executors, administrators and legal representatives. </w:t>
      </w:r>
      <w:r>
        <w:rPr>
          <w:u w:val="single"/>
        </w:rPr>
        <w:t xml:space="preserve">Section </w:t>
      </w:r>
      <w:r>
        <w:rPr>
          <w:u w:val="single"/>
        </w:rPr>
        <w:fldChar w:fldCharType="begin"/>
      </w:r>
      <w:r>
        <w:rPr>
          <w:u w:val="single"/>
        </w:rPr>
        <w:instrText xml:space="preserve"> REF _Ref239586121 \r \h  \* MERGEFORMAT </w:instrText>
      </w:r>
      <w:r>
        <w:rPr>
          <w:u w:val="single"/>
        </w:rPr>
      </w:r>
      <w:r>
        <w:rPr>
          <w:u w:val="single"/>
        </w:rPr>
        <w:fldChar w:fldCharType="separate"/>
      </w:r>
      <w:r w:rsidR="005E349C">
        <w:rPr>
          <w:u w:val="single"/>
        </w:rPr>
        <w:t>3.5</w:t>
      </w:r>
      <w:r>
        <w:rPr>
          <w:u w:val="single"/>
        </w:rPr>
        <w:fldChar w:fldCharType="end"/>
      </w:r>
      <w:r>
        <w:t xml:space="preserve"> governs transfer of the rights in </w:t>
      </w:r>
      <w:r>
        <w:rPr>
          <w:u w:val="single"/>
        </w:rPr>
        <w:t xml:space="preserve">Section </w:t>
      </w:r>
      <w:r>
        <w:rPr>
          <w:u w:val="single"/>
        </w:rPr>
        <w:fldChar w:fldCharType="begin"/>
      </w:r>
      <w:r>
        <w:rPr>
          <w:u w:val="single"/>
        </w:rPr>
        <w:instrText xml:space="preserve"> REF _Ref239585349 \r \h  \* MERGEFORMAT </w:instrText>
      </w:r>
      <w:r>
        <w:rPr>
          <w:u w:val="single"/>
        </w:rPr>
      </w:r>
      <w:r>
        <w:rPr>
          <w:u w:val="single"/>
        </w:rPr>
        <w:fldChar w:fldCharType="separate"/>
      </w:r>
      <w:r w:rsidR="005E349C">
        <w:rPr>
          <w:u w:val="single"/>
        </w:rPr>
        <w:t>3</w:t>
      </w:r>
      <w:r>
        <w:rPr>
          <w:u w:val="single"/>
        </w:rPr>
        <w:fldChar w:fldCharType="end"/>
      </w:r>
      <w:r>
        <w:t xml:space="preserve">, and </w:t>
      </w:r>
      <w:r>
        <w:rPr>
          <w:u w:val="single"/>
        </w:rPr>
        <w:t xml:space="preserve">Section </w:t>
      </w:r>
      <w:r>
        <w:rPr>
          <w:u w:val="single"/>
        </w:rPr>
        <w:fldChar w:fldCharType="begin"/>
      </w:r>
      <w:r>
        <w:rPr>
          <w:u w:val="single"/>
        </w:rPr>
        <w:instrText xml:space="preserve"> REF _Ref239585145 \r \h  \* MERGEFORMAT </w:instrText>
      </w:r>
      <w:r>
        <w:rPr>
          <w:u w:val="single"/>
        </w:rPr>
      </w:r>
      <w:r>
        <w:rPr>
          <w:u w:val="single"/>
        </w:rPr>
        <w:fldChar w:fldCharType="separate"/>
      </w:r>
      <w:r w:rsidR="005E349C">
        <w:rPr>
          <w:u w:val="single"/>
        </w:rPr>
        <w:t>5.1</w:t>
      </w:r>
      <w:r>
        <w:rPr>
          <w:u w:val="single"/>
        </w:rPr>
        <w:fldChar w:fldCharType="end"/>
      </w:r>
      <w:r>
        <w:t xml:space="preserve"> governs transfers of shares. Otherwise, no party may assign this Agreement or any right or obligation under </w:t>
      </w:r>
      <w:r>
        <w:lastRenderedPageBreak/>
        <w:t xml:space="preserve">it without the written consent of the Company and the Requisite Investors, and any attempted assignment in breach of this </w:t>
      </w:r>
      <w:r>
        <w:rPr>
          <w:u w:val="single"/>
        </w:rPr>
        <w:t xml:space="preserve">Section </w:t>
      </w:r>
      <w:r>
        <w:rPr>
          <w:u w:val="single"/>
        </w:rPr>
        <w:fldChar w:fldCharType="begin"/>
      </w:r>
      <w:r>
        <w:rPr>
          <w:u w:val="single"/>
        </w:rPr>
        <w:instrText xml:space="preserve"> REF _Ref239585669 \r \h  \* MERGEFORMAT </w:instrText>
      </w:r>
      <w:r>
        <w:rPr>
          <w:u w:val="single"/>
        </w:rPr>
      </w:r>
      <w:r>
        <w:rPr>
          <w:u w:val="single"/>
        </w:rPr>
        <w:fldChar w:fldCharType="separate"/>
      </w:r>
      <w:r w:rsidR="005E349C">
        <w:rPr>
          <w:u w:val="single"/>
        </w:rPr>
        <w:t>8.3</w:t>
      </w:r>
      <w:r>
        <w:rPr>
          <w:u w:val="single"/>
        </w:rPr>
        <w:fldChar w:fldCharType="end"/>
      </w:r>
      <w:r>
        <w:t xml:space="preserve"> is void.</w:t>
      </w:r>
      <w:bookmarkEnd w:id="23"/>
      <w:bookmarkEnd w:id="24"/>
    </w:p>
    <w:p w14:paraId="4E93D133" w14:textId="16C2F08D" w:rsidR="00A128DD" w:rsidRDefault="00000000" w:rsidP="00B26A7B">
      <w:pPr>
        <w:pStyle w:val="ListParagraph"/>
        <w:numPr>
          <w:ilvl w:val="1"/>
          <w:numId w:val="2"/>
        </w:numPr>
        <w:jc w:val="both"/>
      </w:pPr>
      <w:bookmarkStart w:id="25" w:name="_Ref239585494"/>
      <w:bookmarkStart w:id="26" w:name="_Ref239418294"/>
      <w:r>
        <w:rPr>
          <w:u w:val="single"/>
        </w:rPr>
        <w:t>Notices.</w:t>
      </w:r>
      <w:r>
        <w:t xml:space="preserve">  Every notice under this Agreement has to be in writing, and is effective on the earliest of actual receipt, personal delivery, the day it is sent by email during the recipient’s normal business hours (or the recipient’s next business day if sent outside them), one business day after deposit with a nationally recognized overnight courier specifying next-business-day delivery, and five days after being sent by registered or certified mail, postage prepaid, return receipt requested. Notices go to the addresses shown on </w:t>
      </w:r>
      <w:r>
        <w:rPr>
          <w:u w:val="single"/>
        </w:rPr>
        <w:t>Exhibit A</w:t>
      </w:r>
      <w:r>
        <w:t xml:space="preserve">, </w:t>
      </w:r>
      <w:r>
        <w:rPr>
          <w:u w:val="single"/>
        </w:rPr>
        <w:t>Exhibit B</w:t>
      </w:r>
      <w:r>
        <w:t xml:space="preserve">, or the signature pages, or to any other address a party gives by notice under this </w:t>
      </w:r>
      <w:r>
        <w:rPr>
          <w:u w:val="single"/>
        </w:rPr>
        <w:t xml:space="preserve">Section </w:t>
      </w:r>
      <w:r>
        <w:rPr>
          <w:u w:val="single"/>
        </w:rPr>
        <w:fldChar w:fldCharType="begin"/>
      </w:r>
      <w:r>
        <w:rPr>
          <w:u w:val="single"/>
        </w:rPr>
        <w:instrText xml:space="preserve"> REF _Ref239418294 \r \h  \* MERGEFORMAT </w:instrText>
      </w:r>
      <w:r>
        <w:rPr>
          <w:u w:val="single"/>
        </w:rPr>
      </w:r>
      <w:r>
        <w:rPr>
          <w:u w:val="single"/>
        </w:rPr>
        <w:fldChar w:fldCharType="separate"/>
      </w:r>
      <w:r w:rsidR="005E349C">
        <w:rPr>
          <w:u w:val="single"/>
        </w:rPr>
        <w:t>8.4</w:t>
      </w:r>
      <w:r>
        <w:rPr>
          <w:u w:val="single"/>
        </w:rPr>
        <w:fldChar w:fldCharType="end"/>
      </w:r>
      <w:r>
        <w:t>.</w:t>
      </w:r>
      <w:bookmarkEnd w:id="25"/>
      <w:bookmarkEnd w:id="26"/>
    </w:p>
    <w:p w14:paraId="17CD7376" w14:textId="1BAA02C8" w:rsidR="00A128DD" w:rsidRDefault="00000000">
      <w:pPr>
        <w:pStyle w:val="ListParagraph"/>
        <w:numPr>
          <w:ilvl w:val="1"/>
          <w:numId w:val="2"/>
        </w:numPr>
        <w:jc w:val="both"/>
      </w:pPr>
      <w:r>
        <w:rPr>
          <w:u w:val="single"/>
        </w:rPr>
        <w:t>Governing Law.</w:t>
      </w:r>
      <w:r>
        <w:t xml:space="preserve">  Delaware law governs this Agreement, without regard to its conflict of laws rules.</w:t>
      </w:r>
    </w:p>
    <w:p w14:paraId="3FD338DA" w14:textId="202FD28C" w:rsidR="00A128DD" w:rsidRDefault="00000000">
      <w:pPr>
        <w:pStyle w:val="ListParagraph"/>
        <w:numPr>
          <w:ilvl w:val="1"/>
          <w:numId w:val="2"/>
        </w:numPr>
        <w:jc w:val="both"/>
      </w:pPr>
      <w:r>
        <w:rPr>
          <w:u w:val="single"/>
        </w:rPr>
        <w:t>Where disputes go.</w:t>
      </w:r>
      <w:r>
        <w:t xml:space="preserve">  Each party submits to the exclusive jurisdiction of the Court of Chancery of the State of Delaware, and, if that court lacks jurisdiction, of the other state and federal courts sitting in Delaware, for any suit or proceeding arising out of or relating to this Agreement. Each party agrees not to bring any such suit or proceeding anywhere else and waives any objection that it is not personally subject to the jurisdiction of those courts, that venue is improper, or that the forum is inconvenient. To the extent a dispute is heard in a court where a jury is available, each party waives its right to a jury trial.</w:t>
      </w:r>
    </w:p>
    <w:p w14:paraId="2538EBDF" w14:textId="68B5D48B" w:rsidR="00A128DD" w:rsidRDefault="00000000">
      <w:pPr>
        <w:pStyle w:val="ListParagraph"/>
        <w:numPr>
          <w:ilvl w:val="1"/>
          <w:numId w:val="2"/>
        </w:numPr>
        <w:jc w:val="both"/>
      </w:pPr>
      <w:r>
        <w:rPr>
          <w:u w:val="single"/>
        </w:rPr>
        <w:t>Legal Fees.</w:t>
      </w:r>
      <w:r>
        <w:t xml:space="preserve">  If any action or proceeding is brought to enforce or interpret this Agreement, the prevailing party is entitled to its reasonable attorneys’ fees, costs and necessary disbursements, in addition to any other relief. Each party pays its own costs of negotiating, signing and performing this Agreement, except that at the Initial Closing the Company will pay the reasonable fees and expenses of one counsel to the Investors, up to $[</w:t>
      </w:r>
      <w:r>
        <w:rPr>
          <w:highlight w:val="yellow"/>
        </w:rPr>
        <w:t>____</w:t>
      </w:r>
      <w:r>
        <w:t>].</w:t>
      </w:r>
    </w:p>
    <w:p w14:paraId="13BD9A56" w14:textId="77777777" w:rsidR="00A128DD" w:rsidRDefault="00000000">
      <w:pPr>
        <w:pStyle w:val="ListParagraph"/>
        <w:numPr>
          <w:ilvl w:val="1"/>
          <w:numId w:val="2"/>
        </w:numPr>
        <w:jc w:val="both"/>
      </w:pPr>
      <w:r>
        <w:rPr>
          <w:u w:val="single"/>
        </w:rPr>
        <w:t>Counterparts and signatures.</w:t>
      </w:r>
      <w:r>
        <w:t xml:space="preserve">  This Agreement may be signed in two or more counterparts, each of which is an original and all of which together are one agreement. Electronic signatures, and signatures delivered by email or PDF, have the same effect as original signatures.</w:t>
      </w:r>
    </w:p>
    <w:p w14:paraId="6BD6A44A" w14:textId="60051E2D" w:rsidR="00A128DD" w:rsidRDefault="00000000">
      <w:pPr>
        <w:pStyle w:val="ListParagraph"/>
        <w:numPr>
          <w:ilvl w:val="1"/>
          <w:numId w:val="2"/>
        </w:numPr>
        <w:jc w:val="both"/>
      </w:pPr>
      <w:r>
        <w:rPr>
          <w:u w:val="single"/>
        </w:rPr>
        <w:t>Entire Agreement.</w:t>
      </w:r>
      <w:r>
        <w:t xml:space="preserve">  This Agreement, together with its Schedules and Exhibits and the Charter, is the entire agreement of the parties about this financing and the Investors’ rights, and replaces every prior written or oral agreement or understanding on those subjects.</w:t>
      </w:r>
    </w:p>
    <w:p w14:paraId="24699CED" w14:textId="77777777" w:rsidR="00A128DD" w:rsidRDefault="00000000">
      <w:pPr>
        <w:pStyle w:val="ListParagraph"/>
        <w:numPr>
          <w:ilvl w:val="1"/>
          <w:numId w:val="2"/>
        </w:numPr>
        <w:jc w:val="both"/>
      </w:pPr>
      <w:r>
        <w:rPr>
          <w:u w:val="single"/>
        </w:rPr>
        <w:t>Severability.</w:t>
      </w:r>
      <w:r>
        <w:t xml:space="preserve">  If any provision of this Agreement is held invalid or unenforceable, the rest of the Agreement stays in effect, and the invalid provision is modified only to the minimum extent needed to make it enforceable.</w:t>
      </w:r>
    </w:p>
    <w:p w14:paraId="02B5F51C" w14:textId="57998AE6" w:rsidR="00A128DD" w:rsidRDefault="00000000">
      <w:pPr>
        <w:pStyle w:val="ListParagraph"/>
        <w:numPr>
          <w:ilvl w:val="1"/>
          <w:numId w:val="2"/>
        </w:numPr>
        <w:jc w:val="both"/>
      </w:pPr>
      <w:r>
        <w:rPr>
          <w:u w:val="single"/>
        </w:rPr>
        <w:t>No Waiver By Delay.</w:t>
      </w:r>
      <w:r>
        <w:t xml:space="preserve">  A party’s failure or delay in exercising a right under this Agreement is not a waiver of that right, of the breach that gave rise to it, or of any later breach. A waiver has to be in writing and is effective only to the extent it says. Remedies under this Agreement are cumulative and not exclusive.</w:t>
      </w:r>
    </w:p>
    <w:p w14:paraId="1988F1D1" w14:textId="77777777" w:rsidR="00A128DD" w:rsidRDefault="00000000">
      <w:pPr>
        <w:pStyle w:val="ListParagraph"/>
        <w:numPr>
          <w:ilvl w:val="1"/>
          <w:numId w:val="2"/>
        </w:numPr>
        <w:jc w:val="both"/>
      </w:pPr>
      <w:r>
        <w:rPr>
          <w:u w:val="single"/>
        </w:rPr>
        <w:t>Adjustments.</w:t>
      </w:r>
      <w:r>
        <w:t xml:space="preserve">  Every reference in this Agreement to a specific number of shares, or to a price per share, adjusts proportionally for any stock split, reverse stock split, combination, stock dividend, recapitalization or similar event.</w:t>
      </w:r>
    </w:p>
    <w:p w14:paraId="35B18CB6" w14:textId="25A5A91B" w:rsidR="00A128DD" w:rsidRDefault="00000000">
      <w:pPr>
        <w:pStyle w:val="ListParagraph"/>
        <w:numPr>
          <w:ilvl w:val="1"/>
          <w:numId w:val="2"/>
        </w:numPr>
        <w:jc w:val="both"/>
      </w:pPr>
      <w:r>
        <w:rPr>
          <w:u w:val="single"/>
        </w:rPr>
        <w:lastRenderedPageBreak/>
        <w:t>No Third-Party Beneficiaries.</w:t>
      </w:r>
      <w:r>
        <w:t xml:space="preserve">  No person other than the parties and their permitted successors and transferees has any right or remedy under this Agreement.</w:t>
      </w:r>
    </w:p>
    <w:p w14:paraId="776FEBEB" w14:textId="38D39128" w:rsidR="00A128DD" w:rsidRDefault="00000000">
      <w:pPr>
        <w:pStyle w:val="ListParagraph"/>
        <w:numPr>
          <w:ilvl w:val="1"/>
          <w:numId w:val="2"/>
        </w:numPr>
        <w:jc w:val="both"/>
      </w:pPr>
      <w:r>
        <w:rPr>
          <w:u w:val="single"/>
        </w:rPr>
        <w:t>Further Assurances.</w:t>
      </w:r>
      <w:r>
        <w:t xml:space="preserve">  Each party will sign the further documents and take the further actions reasonably needed to carry out the purpose and intent of this Agreement.</w:t>
      </w:r>
    </w:p>
    <w:p w14:paraId="1BBA935B" w14:textId="77777777" w:rsidR="00A128DD" w:rsidRDefault="00000000">
      <w:pPr>
        <w:pStyle w:val="ListParagraph"/>
        <w:numPr>
          <w:ilvl w:val="1"/>
          <w:numId w:val="2"/>
        </w:numPr>
        <w:jc w:val="both"/>
      </w:pPr>
      <w:r>
        <w:rPr>
          <w:u w:val="single"/>
        </w:rPr>
        <w:t>Headings.</w:t>
      </w:r>
      <w:r>
        <w:t xml:space="preserve">  Headings are included for convenience only and do not affect how this Agreement is read or interpreted.</w:t>
      </w:r>
    </w:p>
    <w:p w14:paraId="5FB3BCA2" w14:textId="77777777" w:rsidR="00A128DD" w:rsidRDefault="00000000">
      <w:pPr>
        <w:jc w:val="center"/>
      </w:pPr>
      <w:r>
        <w:rPr>
          <w:i/>
          <w:iCs/>
        </w:rPr>
        <w:t>[Signature Page Follows]</w:t>
      </w:r>
    </w:p>
    <w:p w14:paraId="0D5883FF" w14:textId="77777777" w:rsidR="00A128DD" w:rsidRDefault="00A128DD">
      <w:pPr>
        <w:sectPr w:rsidR="00A128DD">
          <w:headerReference w:type="default" r:id="rId8"/>
          <w:footerReference w:type="even" r:id="rId9"/>
          <w:footerReference w:type="default" r:id="rId10"/>
          <w:pgSz w:w="12240" w:h="15840"/>
          <w:pgMar w:top="1440" w:right="1440" w:bottom="1440" w:left="1440" w:header="720" w:footer="720" w:gutter="0"/>
          <w:cols w:space="720"/>
          <w:docGrid w:linePitch="360"/>
        </w:sectPr>
      </w:pPr>
    </w:p>
    <w:p w14:paraId="17CC8BC1" w14:textId="4B0E89C6" w:rsidR="00A128DD" w:rsidRDefault="00000000">
      <w:pPr>
        <w:spacing w:after="480"/>
        <w:ind w:firstLine="720"/>
        <w:jc w:val="both"/>
      </w:pPr>
      <w:r>
        <w:lastRenderedPageBreak/>
        <w:t>The parties have signed this PROFIT Agreement as of the date first written above.</w:t>
      </w:r>
    </w:p>
    <w:p w14:paraId="1D1A34D8" w14:textId="77777777" w:rsidR="00A128DD" w:rsidRDefault="00000000">
      <w:r>
        <w:rPr>
          <w:b/>
          <w:bCs/>
        </w:rPr>
        <w:t>COMPANY:</w:t>
      </w:r>
    </w:p>
    <w:p w14:paraId="116A121F" w14:textId="5DF7ED55" w:rsidR="00A128DD" w:rsidRDefault="00000000">
      <w:r>
        <w:t>[COMPANY NAME]</w:t>
      </w:r>
    </w:p>
    <w:p w14:paraId="2D45E5F6" w14:textId="77777777" w:rsidR="00A128DD" w:rsidRDefault="00000000">
      <w:r>
        <w:t>By: ______________________________</w:t>
      </w:r>
    </w:p>
    <w:p w14:paraId="6D93D8C5" w14:textId="77777777" w:rsidR="00A128DD" w:rsidRDefault="00000000">
      <w:r>
        <w:t>Name: ___________________________</w:t>
      </w:r>
    </w:p>
    <w:p w14:paraId="5BEFE591" w14:textId="77777777" w:rsidR="00A128DD" w:rsidRDefault="00000000">
      <w:r>
        <w:t>Title: ____________________________</w:t>
      </w:r>
    </w:p>
    <w:p w14:paraId="1D46CA03" w14:textId="77777777" w:rsidR="00A128DD" w:rsidRDefault="00000000">
      <w:r>
        <w:t>Address: _________________________</w:t>
      </w:r>
    </w:p>
    <w:p w14:paraId="3FC0A2DE" w14:textId="77777777" w:rsidR="00A128DD" w:rsidRDefault="00000000">
      <w:r>
        <w:t>Email: ___________________________</w:t>
      </w:r>
    </w:p>
    <w:p w14:paraId="5C34E6F4" w14:textId="2A875221" w:rsidR="00A128DD" w:rsidRDefault="00000000">
      <w:pPr>
        <w:pageBreakBefore/>
        <w:spacing w:after="480"/>
        <w:ind w:firstLine="720"/>
        <w:jc w:val="both"/>
      </w:pPr>
      <w:r>
        <w:lastRenderedPageBreak/>
        <w:t>The parties have signed this PROFIT Agreement as of the date first written above.</w:t>
      </w:r>
    </w:p>
    <w:p w14:paraId="748D0357" w14:textId="77777777" w:rsidR="00A128DD" w:rsidRDefault="00000000">
      <w:r>
        <w:rPr>
          <w:b/>
          <w:bCs/>
        </w:rPr>
        <w:t>INVESTOR:</w:t>
      </w:r>
    </w:p>
    <w:p w14:paraId="60C6259A" w14:textId="77777777" w:rsidR="00A128DD" w:rsidRDefault="00000000">
      <w:r>
        <w:t>___________________________________</w:t>
      </w:r>
    </w:p>
    <w:p w14:paraId="2C9D6EAC" w14:textId="77777777" w:rsidR="00A128DD" w:rsidRDefault="00000000">
      <w:r>
        <w:rPr>
          <w:i/>
          <w:iCs/>
        </w:rPr>
        <w:t>(print name of Investor)</w:t>
      </w:r>
    </w:p>
    <w:p w14:paraId="70C3EA05" w14:textId="77777777" w:rsidR="00A128DD" w:rsidRDefault="00000000">
      <w:pPr>
        <w:spacing w:before="240"/>
      </w:pPr>
      <w:r>
        <w:rPr>
          <w:u w:val="single"/>
        </w:rPr>
        <w:t>If the Investor is an entity:</w:t>
      </w:r>
    </w:p>
    <w:p w14:paraId="26F5B954" w14:textId="77777777" w:rsidR="00A128DD" w:rsidRDefault="00000000">
      <w:r>
        <w:t>By: ______________________________</w:t>
      </w:r>
    </w:p>
    <w:p w14:paraId="3BD39A91" w14:textId="77777777" w:rsidR="00A128DD" w:rsidRDefault="00000000">
      <w:r>
        <w:rPr>
          <w:i/>
          <w:iCs/>
        </w:rPr>
        <w:t xml:space="preserve">        (signature)</w:t>
      </w:r>
    </w:p>
    <w:p w14:paraId="3FDD785B" w14:textId="77777777" w:rsidR="00A128DD" w:rsidRDefault="00000000">
      <w:r>
        <w:t>Name: ___________________________</w:t>
      </w:r>
    </w:p>
    <w:p w14:paraId="2E5F0012" w14:textId="77777777" w:rsidR="00A128DD" w:rsidRDefault="00000000">
      <w:r>
        <w:t>Title: ____________________________</w:t>
      </w:r>
    </w:p>
    <w:p w14:paraId="0D92712F" w14:textId="77777777" w:rsidR="00A128DD" w:rsidRDefault="00000000">
      <w:r>
        <w:t>Address: _________________________</w:t>
      </w:r>
    </w:p>
    <w:p w14:paraId="460CC5DB" w14:textId="77777777" w:rsidR="00A128DD" w:rsidRDefault="00000000">
      <w:pPr>
        <w:spacing w:after="300"/>
      </w:pPr>
      <w:r>
        <w:t>Email: ___________________________</w:t>
      </w:r>
    </w:p>
    <w:p w14:paraId="277137D0" w14:textId="77777777" w:rsidR="00B83227" w:rsidRDefault="00B83227">
      <w:pPr>
        <w:spacing w:after="300"/>
      </w:pPr>
    </w:p>
    <w:p w14:paraId="6901333D" w14:textId="77777777" w:rsidR="00B83227" w:rsidRDefault="00B83227" w:rsidP="00B83227">
      <w:pPr>
        <w:spacing w:before="240"/>
      </w:pPr>
      <w:r>
        <w:rPr>
          <w:u w:val="single"/>
        </w:rPr>
        <w:t>If the Investor is an individual:</w:t>
      </w:r>
    </w:p>
    <w:p w14:paraId="6E17A225" w14:textId="77777777" w:rsidR="00B83227" w:rsidRDefault="00B83227" w:rsidP="00B83227">
      <w:r>
        <w:t>By: ______________________________</w:t>
      </w:r>
    </w:p>
    <w:p w14:paraId="1BB4505E" w14:textId="77777777" w:rsidR="00B83227" w:rsidRDefault="00B83227" w:rsidP="00B83227">
      <w:r>
        <w:rPr>
          <w:i/>
          <w:iCs/>
        </w:rPr>
        <w:t xml:space="preserve">        (signature)</w:t>
      </w:r>
    </w:p>
    <w:p w14:paraId="18434D82" w14:textId="77777777" w:rsidR="00B83227" w:rsidRDefault="00B83227">
      <w:pPr>
        <w:spacing w:after="300"/>
      </w:pPr>
    </w:p>
    <w:p w14:paraId="1A028E05" w14:textId="5C4F4156" w:rsidR="00A128DD" w:rsidRDefault="00000000">
      <w:pPr>
        <w:pageBreakBefore/>
        <w:spacing w:after="480"/>
        <w:ind w:firstLine="720"/>
        <w:jc w:val="both"/>
      </w:pPr>
      <w:r>
        <w:lastRenderedPageBreak/>
        <w:t>The parties have signed this PROFIT Agreement as of the date first written above.</w:t>
      </w:r>
    </w:p>
    <w:p w14:paraId="6F0F27A3" w14:textId="77777777" w:rsidR="00A128DD" w:rsidRDefault="00000000">
      <w:r>
        <w:rPr>
          <w:b/>
          <w:bCs/>
        </w:rPr>
        <w:t>KEY HOLDER:</w:t>
      </w:r>
    </w:p>
    <w:p w14:paraId="33707F8B" w14:textId="77777777" w:rsidR="00A128DD" w:rsidRDefault="00000000">
      <w:r>
        <w:t>___________________________________</w:t>
      </w:r>
    </w:p>
    <w:p w14:paraId="7DD9BD8D" w14:textId="77777777" w:rsidR="00A128DD" w:rsidRDefault="00000000">
      <w:r>
        <w:rPr>
          <w:i/>
          <w:iCs/>
        </w:rPr>
        <w:t>(signature)</w:t>
      </w:r>
    </w:p>
    <w:p w14:paraId="2549C40F" w14:textId="77777777" w:rsidR="00A128DD" w:rsidRDefault="00000000">
      <w:r>
        <w:t>Name: ___________________________</w:t>
      </w:r>
    </w:p>
    <w:p w14:paraId="19F33444" w14:textId="77777777" w:rsidR="00A128DD" w:rsidRDefault="00000000">
      <w:r>
        <w:t>Address: _________________________</w:t>
      </w:r>
    </w:p>
    <w:p w14:paraId="2228CCC0" w14:textId="77777777" w:rsidR="00A128DD" w:rsidRDefault="00000000">
      <w:r>
        <w:t>Email: ___________________________</w:t>
      </w:r>
    </w:p>
    <w:p w14:paraId="1243B67F" w14:textId="77777777" w:rsidR="00A128DD" w:rsidRDefault="00A128DD">
      <w:pPr>
        <w:sectPr w:rsidR="00A128DD">
          <w:footerReference w:type="default" r:id="rId11"/>
          <w:pgSz w:w="12240" w:h="15840"/>
          <w:pgMar w:top="1440" w:right="1440" w:bottom="1440" w:left="1440" w:header="720" w:footer="720" w:gutter="0"/>
          <w:cols w:space="720"/>
          <w:docGrid w:linePitch="360"/>
        </w:sectPr>
      </w:pPr>
    </w:p>
    <w:p w14:paraId="4ABCEA52" w14:textId="4E4BB082" w:rsidR="00A128DD" w:rsidRDefault="006C2F32">
      <w:pPr>
        <w:pageBreakBefore/>
        <w:spacing w:after="120"/>
        <w:jc w:val="center"/>
      </w:pPr>
      <w:r>
        <w:rPr>
          <w:b/>
          <w:bCs/>
        </w:rPr>
        <w:lastRenderedPageBreak/>
        <w:t>EXHIBIT A</w:t>
      </w:r>
    </w:p>
    <w:p w14:paraId="4C7630DE" w14:textId="77777777" w:rsidR="00A128DD" w:rsidRDefault="00000000">
      <w:pPr>
        <w:spacing w:after="240"/>
        <w:jc w:val="center"/>
      </w:pPr>
      <w:r>
        <w:rPr>
          <w:b/>
          <w:bCs/>
        </w:rPr>
        <w:t>Investors</w:t>
      </w:r>
    </w:p>
    <w:p w14:paraId="6D3D8FC2" w14:textId="77777777" w:rsidR="00A128DD" w:rsidRDefault="00000000">
      <w:pPr>
        <w:jc w:val="both"/>
      </w:pPr>
      <w:r>
        <w:t>Closing date: ____________________</w:t>
      </w: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83"/>
        <w:gridCol w:w="1234"/>
        <w:gridCol w:w="1538"/>
        <w:gridCol w:w="1260"/>
        <w:gridCol w:w="2374"/>
      </w:tblGrid>
      <w:tr w:rsidR="006668C6" w14:paraId="33DA6CA7" w14:textId="77777777" w:rsidTr="00B83227">
        <w:trPr>
          <w:trHeight w:val="1903"/>
          <w:tblHeader/>
        </w:trPr>
        <w:tc>
          <w:tcPr>
            <w:tcW w:w="1589" w:type="pct"/>
            <w:tcBorders>
              <w:top w:val="single" w:sz="4" w:space="0" w:color="000000"/>
              <w:left w:val="single" w:sz="4" w:space="0" w:color="000000"/>
              <w:bottom w:val="single" w:sz="4" w:space="0" w:color="000000"/>
              <w:right w:val="single" w:sz="4" w:space="0" w:color="000000"/>
            </w:tcBorders>
          </w:tcPr>
          <w:p w14:paraId="6DC100E2" w14:textId="5F553DC2" w:rsidR="006668C6" w:rsidRPr="006C2F32" w:rsidRDefault="006668C6" w:rsidP="006C2F32">
            <w:pPr>
              <w:spacing w:after="100"/>
              <w:jc w:val="center"/>
            </w:pPr>
            <w:r>
              <w:rPr>
                <w:b/>
                <w:bCs/>
              </w:rPr>
              <w:t>Investor Name and Address</w:t>
            </w:r>
          </w:p>
        </w:tc>
        <w:tc>
          <w:tcPr>
            <w:tcW w:w="657" w:type="pct"/>
            <w:tcBorders>
              <w:top w:val="single" w:sz="4" w:space="0" w:color="000000"/>
              <w:left w:val="single" w:sz="4" w:space="0" w:color="000000"/>
              <w:bottom w:val="single" w:sz="4" w:space="0" w:color="000000"/>
              <w:right w:val="single" w:sz="4" w:space="0" w:color="000000"/>
            </w:tcBorders>
          </w:tcPr>
          <w:p w14:paraId="14E0246C" w14:textId="77777777" w:rsidR="006668C6" w:rsidRPr="006C2F32" w:rsidRDefault="006668C6" w:rsidP="006C2F32">
            <w:pPr>
              <w:pStyle w:val="p1"/>
              <w:jc w:val="center"/>
              <w:rPr>
                <w:sz w:val="24"/>
                <w:szCs w:val="24"/>
              </w:rPr>
            </w:pPr>
            <w:r>
              <w:rPr>
                <w:b/>
                <w:bCs/>
                <w:sz w:val="24"/>
                <w:szCs w:val="24"/>
              </w:rPr>
              <w:t>Invested in</w:t>
            </w:r>
          </w:p>
          <w:p w14:paraId="75E2094A" w14:textId="77777777" w:rsidR="006668C6" w:rsidRPr="006C2F32" w:rsidRDefault="006668C6" w:rsidP="006C2F32">
            <w:pPr>
              <w:pStyle w:val="p1"/>
              <w:jc w:val="center"/>
              <w:rPr>
                <w:sz w:val="24"/>
                <w:szCs w:val="24"/>
              </w:rPr>
            </w:pPr>
            <w:r>
              <w:rPr>
                <w:b/>
                <w:bCs/>
                <w:sz w:val="24"/>
                <w:szCs w:val="24"/>
              </w:rPr>
              <w:t>Convertible</w:t>
            </w:r>
          </w:p>
          <w:p w14:paraId="7B8B55B7" w14:textId="77777777" w:rsidR="006668C6" w:rsidRPr="006C2F32" w:rsidRDefault="006668C6" w:rsidP="006C2F32">
            <w:pPr>
              <w:pStyle w:val="p1"/>
              <w:jc w:val="center"/>
              <w:rPr>
                <w:sz w:val="24"/>
                <w:szCs w:val="24"/>
              </w:rPr>
            </w:pPr>
            <w:r>
              <w:rPr>
                <w:b/>
                <w:bCs/>
                <w:sz w:val="24"/>
                <w:szCs w:val="24"/>
              </w:rPr>
              <w:t>Securities ($)</w:t>
            </w:r>
          </w:p>
          <w:p w14:paraId="7EE0A4D2" w14:textId="77777777" w:rsidR="006668C6" w:rsidRPr="006C2F32" w:rsidRDefault="006668C6" w:rsidP="006C2F32">
            <w:pPr>
              <w:spacing w:after="100"/>
              <w:jc w:val="center"/>
              <w:rPr>
                <w:b/>
                <w:bCs/>
              </w:rPr>
            </w:pPr>
          </w:p>
        </w:tc>
        <w:tc>
          <w:tcPr>
            <w:tcW w:w="819" w:type="pct"/>
            <w:tcBorders>
              <w:top w:val="single" w:sz="4" w:space="0" w:color="000000"/>
              <w:left w:val="single" w:sz="4" w:space="0" w:color="000000"/>
              <w:bottom w:val="single" w:sz="4" w:space="0" w:color="000000"/>
              <w:right w:val="single" w:sz="4" w:space="0" w:color="000000"/>
            </w:tcBorders>
          </w:tcPr>
          <w:p w14:paraId="769DA6FC" w14:textId="77777777" w:rsidR="006668C6" w:rsidRPr="006C2F32" w:rsidRDefault="006668C6" w:rsidP="006C2F32">
            <w:pPr>
              <w:pStyle w:val="p1"/>
              <w:jc w:val="center"/>
              <w:rPr>
                <w:sz w:val="24"/>
                <w:szCs w:val="24"/>
              </w:rPr>
            </w:pPr>
            <w:r>
              <w:rPr>
                <w:b/>
                <w:bCs/>
                <w:sz w:val="24"/>
                <w:szCs w:val="24"/>
              </w:rPr>
              <w:t>Convertible</w:t>
            </w:r>
          </w:p>
          <w:p w14:paraId="191C0191" w14:textId="77777777" w:rsidR="006668C6" w:rsidRPr="006C2F32" w:rsidRDefault="006668C6" w:rsidP="006C2F32">
            <w:pPr>
              <w:pStyle w:val="p1"/>
              <w:jc w:val="center"/>
              <w:rPr>
                <w:sz w:val="24"/>
                <w:szCs w:val="24"/>
              </w:rPr>
            </w:pPr>
            <w:r>
              <w:rPr>
                <w:b/>
                <w:bCs/>
                <w:sz w:val="24"/>
                <w:szCs w:val="24"/>
              </w:rPr>
              <w:t>Security</w:t>
            </w:r>
          </w:p>
          <w:p w14:paraId="6274E06E" w14:textId="3932C4B5" w:rsidR="006668C6" w:rsidRPr="006C2F32" w:rsidRDefault="006668C6" w:rsidP="006C2F32">
            <w:pPr>
              <w:pStyle w:val="p1"/>
              <w:jc w:val="center"/>
              <w:rPr>
                <w:sz w:val="24"/>
                <w:szCs w:val="24"/>
              </w:rPr>
            </w:pPr>
            <w:r>
              <w:rPr>
                <w:b/>
                <w:bCs/>
                <w:sz w:val="24"/>
                <w:szCs w:val="24"/>
              </w:rPr>
              <w:t>Shares (Series Profit-1 Preferred Stock)</w:t>
            </w:r>
          </w:p>
          <w:p w14:paraId="0B2018DC" w14:textId="77777777" w:rsidR="006668C6" w:rsidRPr="006C2F32" w:rsidRDefault="006668C6" w:rsidP="006C2F32">
            <w:pPr>
              <w:spacing w:after="100"/>
              <w:jc w:val="center"/>
              <w:rPr>
                <w:b/>
                <w:bCs/>
              </w:rPr>
            </w:pPr>
          </w:p>
        </w:tc>
        <w:tc>
          <w:tcPr>
            <w:tcW w:w="671" w:type="pct"/>
            <w:tcBorders>
              <w:top w:val="single" w:sz="4" w:space="0" w:color="000000"/>
              <w:left w:val="single" w:sz="4" w:space="0" w:color="000000"/>
              <w:bottom w:val="single" w:sz="4" w:space="0" w:color="000000"/>
              <w:right w:val="single" w:sz="4" w:space="0" w:color="000000"/>
            </w:tcBorders>
          </w:tcPr>
          <w:p w14:paraId="42EA190E" w14:textId="77777777" w:rsidR="006668C6" w:rsidRPr="006C2F32" w:rsidRDefault="006668C6" w:rsidP="006C2F32">
            <w:pPr>
              <w:pStyle w:val="p1"/>
              <w:jc w:val="center"/>
              <w:rPr>
                <w:sz w:val="24"/>
                <w:szCs w:val="24"/>
              </w:rPr>
            </w:pPr>
            <w:r>
              <w:rPr>
                <w:b/>
                <w:bCs/>
                <w:sz w:val="24"/>
                <w:szCs w:val="24"/>
              </w:rPr>
              <w:t>Total Cash</w:t>
            </w:r>
          </w:p>
          <w:p w14:paraId="29D00E85" w14:textId="77777777" w:rsidR="006668C6" w:rsidRPr="006C2F32" w:rsidRDefault="006668C6" w:rsidP="006C2F32">
            <w:pPr>
              <w:pStyle w:val="p1"/>
              <w:jc w:val="center"/>
              <w:rPr>
                <w:sz w:val="24"/>
                <w:szCs w:val="24"/>
              </w:rPr>
            </w:pPr>
            <w:r>
              <w:rPr>
                <w:b/>
                <w:bCs/>
                <w:sz w:val="24"/>
                <w:szCs w:val="24"/>
              </w:rPr>
              <w:t>Purchase Price</w:t>
            </w:r>
          </w:p>
          <w:p w14:paraId="2DC9D564" w14:textId="77777777" w:rsidR="006668C6" w:rsidRPr="006C2F32" w:rsidRDefault="006668C6" w:rsidP="006C2F32">
            <w:pPr>
              <w:pStyle w:val="p1"/>
              <w:jc w:val="center"/>
              <w:rPr>
                <w:sz w:val="24"/>
                <w:szCs w:val="24"/>
              </w:rPr>
            </w:pPr>
            <w:r>
              <w:rPr>
                <w:b/>
                <w:bCs/>
                <w:sz w:val="24"/>
                <w:szCs w:val="24"/>
              </w:rPr>
              <w:t>($)</w:t>
            </w:r>
          </w:p>
          <w:p w14:paraId="69665A1B" w14:textId="77777777" w:rsidR="006668C6" w:rsidRPr="006C2F32" w:rsidRDefault="006668C6" w:rsidP="006C2F32">
            <w:pPr>
              <w:spacing w:after="100"/>
              <w:jc w:val="center"/>
              <w:rPr>
                <w:b/>
                <w:bCs/>
              </w:rPr>
            </w:pPr>
          </w:p>
        </w:tc>
        <w:tc>
          <w:tcPr>
            <w:tcW w:w="1264" w:type="pct"/>
            <w:tcBorders>
              <w:top w:val="single" w:sz="4" w:space="0" w:color="000000"/>
              <w:left w:val="single" w:sz="4" w:space="0" w:color="000000"/>
              <w:bottom w:val="single" w:sz="4" w:space="0" w:color="000000"/>
              <w:right w:val="single" w:sz="4" w:space="0" w:color="000000"/>
            </w:tcBorders>
          </w:tcPr>
          <w:p w14:paraId="1B2D0880" w14:textId="77777777" w:rsidR="006668C6" w:rsidRPr="006C2F32" w:rsidRDefault="006668C6" w:rsidP="006C2F32">
            <w:pPr>
              <w:pStyle w:val="p1"/>
              <w:jc w:val="center"/>
              <w:rPr>
                <w:sz w:val="24"/>
                <w:szCs w:val="24"/>
              </w:rPr>
            </w:pPr>
            <w:r>
              <w:rPr>
                <w:b/>
                <w:bCs/>
                <w:sz w:val="24"/>
                <w:szCs w:val="24"/>
              </w:rPr>
              <w:t>Shares Purchased by</w:t>
            </w:r>
          </w:p>
          <w:p w14:paraId="169BA1C4" w14:textId="744D4379" w:rsidR="006668C6" w:rsidRPr="006C2F32" w:rsidRDefault="006668C6" w:rsidP="00CF6B9B">
            <w:pPr>
              <w:pStyle w:val="p1"/>
              <w:jc w:val="center"/>
              <w:rPr>
                <w:b/>
                <w:bCs/>
                <w:sz w:val="24"/>
                <w:szCs w:val="24"/>
              </w:rPr>
            </w:pPr>
            <w:r>
              <w:rPr>
                <w:b/>
                <w:bCs/>
                <w:sz w:val="24"/>
                <w:szCs w:val="24"/>
              </w:rPr>
              <w:t>Cash (Series Profit Preferred Stock)</w:t>
            </w:r>
          </w:p>
        </w:tc>
      </w:tr>
      <w:tr w:rsidR="006668C6" w14:paraId="7A1880AC" w14:textId="77777777" w:rsidTr="00B83227">
        <w:trPr>
          <w:trHeight w:val="371"/>
        </w:trPr>
        <w:tc>
          <w:tcPr>
            <w:tcW w:w="1589" w:type="pct"/>
            <w:tcBorders>
              <w:top w:val="single" w:sz="4" w:space="0" w:color="000000"/>
              <w:left w:val="single" w:sz="4" w:space="0" w:color="000000"/>
              <w:bottom w:val="single" w:sz="4" w:space="0" w:color="000000"/>
              <w:right w:val="single" w:sz="4" w:space="0" w:color="000000"/>
            </w:tcBorders>
          </w:tcPr>
          <w:p w14:paraId="5D8706A0" w14:textId="77777777" w:rsidR="006668C6" w:rsidRDefault="006668C6">
            <w:pPr>
              <w:spacing w:after="100"/>
            </w:pPr>
          </w:p>
        </w:tc>
        <w:tc>
          <w:tcPr>
            <w:tcW w:w="657" w:type="pct"/>
            <w:tcBorders>
              <w:top w:val="single" w:sz="4" w:space="0" w:color="000000"/>
              <w:left w:val="single" w:sz="4" w:space="0" w:color="000000"/>
              <w:bottom w:val="single" w:sz="4" w:space="0" w:color="000000"/>
              <w:right w:val="single" w:sz="4" w:space="0" w:color="000000"/>
            </w:tcBorders>
          </w:tcPr>
          <w:p w14:paraId="7EF00372" w14:textId="77777777" w:rsidR="006668C6" w:rsidRDefault="006668C6">
            <w:pPr>
              <w:spacing w:after="100"/>
            </w:pPr>
          </w:p>
        </w:tc>
        <w:tc>
          <w:tcPr>
            <w:tcW w:w="819" w:type="pct"/>
            <w:tcBorders>
              <w:top w:val="single" w:sz="4" w:space="0" w:color="000000"/>
              <w:left w:val="single" w:sz="4" w:space="0" w:color="000000"/>
              <w:bottom w:val="single" w:sz="4" w:space="0" w:color="000000"/>
              <w:right w:val="single" w:sz="4" w:space="0" w:color="000000"/>
            </w:tcBorders>
          </w:tcPr>
          <w:p w14:paraId="58C12D37" w14:textId="77777777" w:rsidR="006668C6" w:rsidRDefault="006668C6">
            <w:pPr>
              <w:spacing w:after="100"/>
            </w:pPr>
          </w:p>
        </w:tc>
        <w:tc>
          <w:tcPr>
            <w:tcW w:w="671" w:type="pct"/>
            <w:tcBorders>
              <w:top w:val="single" w:sz="4" w:space="0" w:color="000000"/>
              <w:left w:val="single" w:sz="4" w:space="0" w:color="000000"/>
              <w:bottom w:val="single" w:sz="4" w:space="0" w:color="000000"/>
              <w:right w:val="single" w:sz="4" w:space="0" w:color="000000"/>
            </w:tcBorders>
          </w:tcPr>
          <w:p w14:paraId="05F07A1D" w14:textId="77777777" w:rsidR="006668C6" w:rsidRDefault="006668C6">
            <w:pPr>
              <w:spacing w:after="100"/>
            </w:pPr>
          </w:p>
        </w:tc>
        <w:tc>
          <w:tcPr>
            <w:tcW w:w="1264" w:type="pct"/>
            <w:tcBorders>
              <w:top w:val="single" w:sz="4" w:space="0" w:color="000000"/>
              <w:left w:val="single" w:sz="4" w:space="0" w:color="000000"/>
              <w:bottom w:val="single" w:sz="4" w:space="0" w:color="000000"/>
              <w:right w:val="single" w:sz="4" w:space="0" w:color="000000"/>
            </w:tcBorders>
          </w:tcPr>
          <w:p w14:paraId="758969EC" w14:textId="77777777" w:rsidR="006668C6" w:rsidRDefault="006668C6">
            <w:pPr>
              <w:spacing w:after="100"/>
            </w:pPr>
          </w:p>
        </w:tc>
      </w:tr>
      <w:tr w:rsidR="006668C6" w14:paraId="51A28EDE" w14:textId="77777777" w:rsidTr="00B83227">
        <w:trPr>
          <w:trHeight w:val="371"/>
        </w:trPr>
        <w:tc>
          <w:tcPr>
            <w:tcW w:w="1589" w:type="pct"/>
            <w:tcBorders>
              <w:top w:val="single" w:sz="4" w:space="0" w:color="000000"/>
              <w:left w:val="single" w:sz="4" w:space="0" w:color="000000"/>
              <w:bottom w:val="single" w:sz="4" w:space="0" w:color="000000"/>
              <w:right w:val="single" w:sz="4" w:space="0" w:color="000000"/>
            </w:tcBorders>
          </w:tcPr>
          <w:p w14:paraId="190D43D8" w14:textId="77777777" w:rsidR="006668C6" w:rsidRDefault="006668C6">
            <w:pPr>
              <w:spacing w:after="100"/>
            </w:pPr>
          </w:p>
        </w:tc>
        <w:tc>
          <w:tcPr>
            <w:tcW w:w="657" w:type="pct"/>
            <w:tcBorders>
              <w:top w:val="single" w:sz="4" w:space="0" w:color="000000"/>
              <w:left w:val="single" w:sz="4" w:space="0" w:color="000000"/>
              <w:bottom w:val="single" w:sz="4" w:space="0" w:color="000000"/>
              <w:right w:val="single" w:sz="4" w:space="0" w:color="000000"/>
            </w:tcBorders>
          </w:tcPr>
          <w:p w14:paraId="3A1058EC" w14:textId="77777777" w:rsidR="006668C6" w:rsidRDefault="006668C6">
            <w:pPr>
              <w:spacing w:after="100"/>
            </w:pPr>
          </w:p>
        </w:tc>
        <w:tc>
          <w:tcPr>
            <w:tcW w:w="819" w:type="pct"/>
            <w:tcBorders>
              <w:top w:val="single" w:sz="4" w:space="0" w:color="000000"/>
              <w:left w:val="single" w:sz="4" w:space="0" w:color="000000"/>
              <w:bottom w:val="single" w:sz="4" w:space="0" w:color="000000"/>
              <w:right w:val="single" w:sz="4" w:space="0" w:color="000000"/>
            </w:tcBorders>
          </w:tcPr>
          <w:p w14:paraId="203019C6" w14:textId="77777777" w:rsidR="006668C6" w:rsidRDefault="006668C6">
            <w:pPr>
              <w:spacing w:after="100"/>
            </w:pPr>
          </w:p>
        </w:tc>
        <w:tc>
          <w:tcPr>
            <w:tcW w:w="671" w:type="pct"/>
            <w:tcBorders>
              <w:top w:val="single" w:sz="4" w:space="0" w:color="000000"/>
              <w:left w:val="single" w:sz="4" w:space="0" w:color="000000"/>
              <w:bottom w:val="single" w:sz="4" w:space="0" w:color="000000"/>
              <w:right w:val="single" w:sz="4" w:space="0" w:color="000000"/>
            </w:tcBorders>
          </w:tcPr>
          <w:p w14:paraId="705971B5" w14:textId="77777777" w:rsidR="006668C6" w:rsidRDefault="006668C6">
            <w:pPr>
              <w:spacing w:after="100"/>
            </w:pPr>
          </w:p>
        </w:tc>
        <w:tc>
          <w:tcPr>
            <w:tcW w:w="1264" w:type="pct"/>
            <w:tcBorders>
              <w:top w:val="single" w:sz="4" w:space="0" w:color="000000"/>
              <w:left w:val="single" w:sz="4" w:space="0" w:color="000000"/>
              <w:bottom w:val="single" w:sz="4" w:space="0" w:color="000000"/>
              <w:right w:val="single" w:sz="4" w:space="0" w:color="000000"/>
            </w:tcBorders>
          </w:tcPr>
          <w:p w14:paraId="326C101C" w14:textId="77777777" w:rsidR="006668C6" w:rsidRDefault="006668C6">
            <w:pPr>
              <w:spacing w:after="100"/>
            </w:pPr>
          </w:p>
        </w:tc>
      </w:tr>
      <w:tr w:rsidR="006668C6" w14:paraId="6AECC19B" w14:textId="77777777" w:rsidTr="00B83227">
        <w:trPr>
          <w:trHeight w:val="359"/>
        </w:trPr>
        <w:tc>
          <w:tcPr>
            <w:tcW w:w="1589" w:type="pct"/>
            <w:tcBorders>
              <w:top w:val="single" w:sz="4" w:space="0" w:color="000000"/>
              <w:left w:val="single" w:sz="4" w:space="0" w:color="000000"/>
              <w:bottom w:val="single" w:sz="4" w:space="0" w:color="000000"/>
              <w:right w:val="single" w:sz="4" w:space="0" w:color="000000"/>
            </w:tcBorders>
          </w:tcPr>
          <w:p w14:paraId="644FAC78" w14:textId="77777777" w:rsidR="006668C6" w:rsidRDefault="006668C6">
            <w:pPr>
              <w:spacing w:after="100"/>
            </w:pPr>
          </w:p>
        </w:tc>
        <w:tc>
          <w:tcPr>
            <w:tcW w:w="657" w:type="pct"/>
            <w:tcBorders>
              <w:top w:val="single" w:sz="4" w:space="0" w:color="000000"/>
              <w:left w:val="single" w:sz="4" w:space="0" w:color="000000"/>
              <w:bottom w:val="single" w:sz="4" w:space="0" w:color="000000"/>
              <w:right w:val="single" w:sz="4" w:space="0" w:color="000000"/>
            </w:tcBorders>
          </w:tcPr>
          <w:p w14:paraId="45DA7A55" w14:textId="77777777" w:rsidR="006668C6" w:rsidRDefault="006668C6">
            <w:pPr>
              <w:spacing w:after="100"/>
            </w:pPr>
          </w:p>
        </w:tc>
        <w:tc>
          <w:tcPr>
            <w:tcW w:w="819" w:type="pct"/>
            <w:tcBorders>
              <w:top w:val="single" w:sz="4" w:space="0" w:color="000000"/>
              <w:left w:val="single" w:sz="4" w:space="0" w:color="000000"/>
              <w:bottom w:val="single" w:sz="4" w:space="0" w:color="000000"/>
              <w:right w:val="single" w:sz="4" w:space="0" w:color="000000"/>
            </w:tcBorders>
          </w:tcPr>
          <w:p w14:paraId="6993E651" w14:textId="77777777" w:rsidR="006668C6" w:rsidRDefault="006668C6">
            <w:pPr>
              <w:spacing w:after="100"/>
            </w:pPr>
          </w:p>
        </w:tc>
        <w:tc>
          <w:tcPr>
            <w:tcW w:w="671" w:type="pct"/>
            <w:tcBorders>
              <w:top w:val="single" w:sz="4" w:space="0" w:color="000000"/>
              <w:left w:val="single" w:sz="4" w:space="0" w:color="000000"/>
              <w:bottom w:val="single" w:sz="4" w:space="0" w:color="000000"/>
              <w:right w:val="single" w:sz="4" w:space="0" w:color="000000"/>
            </w:tcBorders>
          </w:tcPr>
          <w:p w14:paraId="69F7B0A7" w14:textId="77777777" w:rsidR="006668C6" w:rsidRDefault="006668C6">
            <w:pPr>
              <w:spacing w:after="100"/>
            </w:pPr>
          </w:p>
        </w:tc>
        <w:tc>
          <w:tcPr>
            <w:tcW w:w="1264" w:type="pct"/>
            <w:tcBorders>
              <w:top w:val="single" w:sz="4" w:space="0" w:color="000000"/>
              <w:left w:val="single" w:sz="4" w:space="0" w:color="000000"/>
              <w:bottom w:val="single" w:sz="4" w:space="0" w:color="000000"/>
              <w:right w:val="single" w:sz="4" w:space="0" w:color="000000"/>
            </w:tcBorders>
          </w:tcPr>
          <w:p w14:paraId="5E40E0D7" w14:textId="77777777" w:rsidR="006668C6" w:rsidRDefault="006668C6">
            <w:pPr>
              <w:spacing w:after="100"/>
            </w:pPr>
          </w:p>
        </w:tc>
      </w:tr>
      <w:tr w:rsidR="006668C6" w14:paraId="3C1F07A2" w14:textId="77777777" w:rsidTr="00B83227">
        <w:trPr>
          <w:trHeight w:val="371"/>
        </w:trPr>
        <w:tc>
          <w:tcPr>
            <w:tcW w:w="1589" w:type="pct"/>
            <w:tcBorders>
              <w:top w:val="single" w:sz="4" w:space="0" w:color="000000"/>
              <w:left w:val="single" w:sz="4" w:space="0" w:color="000000"/>
              <w:bottom w:val="single" w:sz="4" w:space="0" w:color="000000"/>
              <w:right w:val="single" w:sz="4" w:space="0" w:color="000000"/>
            </w:tcBorders>
          </w:tcPr>
          <w:p w14:paraId="17CC51D2" w14:textId="77777777" w:rsidR="006668C6" w:rsidRDefault="006668C6">
            <w:pPr>
              <w:spacing w:after="100"/>
            </w:pPr>
            <w:r>
              <w:t>TOTALS</w:t>
            </w:r>
          </w:p>
        </w:tc>
        <w:tc>
          <w:tcPr>
            <w:tcW w:w="657" w:type="pct"/>
            <w:tcBorders>
              <w:top w:val="single" w:sz="4" w:space="0" w:color="000000"/>
              <w:left w:val="single" w:sz="4" w:space="0" w:color="000000"/>
              <w:bottom w:val="single" w:sz="4" w:space="0" w:color="000000"/>
              <w:right w:val="single" w:sz="4" w:space="0" w:color="000000"/>
            </w:tcBorders>
          </w:tcPr>
          <w:p w14:paraId="339C691C" w14:textId="77777777" w:rsidR="006668C6" w:rsidRDefault="006668C6">
            <w:pPr>
              <w:spacing w:after="100"/>
            </w:pPr>
          </w:p>
        </w:tc>
        <w:tc>
          <w:tcPr>
            <w:tcW w:w="819" w:type="pct"/>
            <w:tcBorders>
              <w:top w:val="single" w:sz="4" w:space="0" w:color="000000"/>
              <w:left w:val="single" w:sz="4" w:space="0" w:color="000000"/>
              <w:bottom w:val="single" w:sz="4" w:space="0" w:color="000000"/>
              <w:right w:val="single" w:sz="4" w:space="0" w:color="000000"/>
            </w:tcBorders>
          </w:tcPr>
          <w:p w14:paraId="12792A6C" w14:textId="77777777" w:rsidR="006668C6" w:rsidRDefault="006668C6">
            <w:pPr>
              <w:spacing w:after="100"/>
            </w:pPr>
          </w:p>
        </w:tc>
        <w:tc>
          <w:tcPr>
            <w:tcW w:w="671" w:type="pct"/>
            <w:tcBorders>
              <w:top w:val="single" w:sz="4" w:space="0" w:color="000000"/>
              <w:left w:val="single" w:sz="4" w:space="0" w:color="000000"/>
              <w:bottom w:val="single" w:sz="4" w:space="0" w:color="000000"/>
              <w:right w:val="single" w:sz="4" w:space="0" w:color="000000"/>
            </w:tcBorders>
          </w:tcPr>
          <w:p w14:paraId="4D5D1D24" w14:textId="77777777" w:rsidR="006668C6" w:rsidRDefault="006668C6">
            <w:pPr>
              <w:spacing w:after="100"/>
            </w:pPr>
          </w:p>
        </w:tc>
        <w:tc>
          <w:tcPr>
            <w:tcW w:w="1264" w:type="pct"/>
            <w:tcBorders>
              <w:top w:val="single" w:sz="4" w:space="0" w:color="000000"/>
              <w:left w:val="single" w:sz="4" w:space="0" w:color="000000"/>
              <w:bottom w:val="single" w:sz="4" w:space="0" w:color="000000"/>
              <w:right w:val="single" w:sz="4" w:space="0" w:color="000000"/>
            </w:tcBorders>
          </w:tcPr>
          <w:p w14:paraId="0833D8DB" w14:textId="77777777" w:rsidR="006668C6" w:rsidRDefault="006668C6">
            <w:pPr>
              <w:spacing w:after="100"/>
            </w:pPr>
          </w:p>
        </w:tc>
      </w:tr>
    </w:tbl>
    <w:p w14:paraId="0D74A51A" w14:textId="77777777" w:rsidR="00A128DD" w:rsidRDefault="00A128DD">
      <w:pPr>
        <w:jc w:val="both"/>
      </w:pPr>
    </w:p>
    <w:p w14:paraId="2F0BA178" w14:textId="066DCB72" w:rsidR="00A128DD" w:rsidRDefault="00FD7B72">
      <w:pPr>
        <w:pageBreakBefore/>
        <w:spacing w:after="120"/>
        <w:jc w:val="center"/>
      </w:pPr>
      <w:r>
        <w:rPr>
          <w:b/>
          <w:bCs/>
        </w:rPr>
        <w:lastRenderedPageBreak/>
        <w:t>EXHIBIT B</w:t>
      </w:r>
    </w:p>
    <w:p w14:paraId="6C3E4C36" w14:textId="77777777" w:rsidR="00A128DD" w:rsidRDefault="00000000">
      <w:pPr>
        <w:spacing w:after="240"/>
        <w:jc w:val="center"/>
      </w:pPr>
      <w:r>
        <w:rPr>
          <w:b/>
          <w:bCs/>
        </w:rPr>
        <w:t>Key Holders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4"/>
        <w:gridCol w:w="2338"/>
        <w:gridCol w:w="4208"/>
      </w:tblGrid>
      <w:tr w:rsidR="00A128DD" w14:paraId="47E0DA95" w14:textId="77777777">
        <w:trPr>
          <w:tblHeader/>
        </w:trPr>
        <w:tc>
          <w:tcPr>
            <w:tcW w:w="1500" w:type="pct"/>
            <w:tcBorders>
              <w:top w:val="single" w:sz="4" w:space="0" w:color="000000"/>
              <w:left w:val="single" w:sz="4" w:space="0" w:color="000000"/>
              <w:bottom w:val="single" w:sz="4" w:space="0" w:color="000000"/>
              <w:right w:val="single" w:sz="4" w:space="0" w:color="000000"/>
            </w:tcBorders>
          </w:tcPr>
          <w:p w14:paraId="2CFEA8BB" w14:textId="77777777" w:rsidR="00A128DD" w:rsidRDefault="00000000">
            <w:pPr>
              <w:spacing w:after="100"/>
              <w:jc w:val="center"/>
            </w:pPr>
            <w:r>
              <w:rPr>
                <w:b/>
                <w:bCs/>
              </w:rPr>
              <w:t>Key Holder</w:t>
            </w:r>
          </w:p>
        </w:tc>
        <w:tc>
          <w:tcPr>
            <w:tcW w:w="1250" w:type="pct"/>
            <w:tcBorders>
              <w:top w:val="single" w:sz="4" w:space="0" w:color="000000"/>
              <w:left w:val="single" w:sz="4" w:space="0" w:color="000000"/>
              <w:bottom w:val="single" w:sz="4" w:space="0" w:color="000000"/>
              <w:right w:val="single" w:sz="4" w:space="0" w:color="000000"/>
            </w:tcBorders>
          </w:tcPr>
          <w:p w14:paraId="409BE42D" w14:textId="77777777" w:rsidR="00A128DD" w:rsidRDefault="00000000">
            <w:pPr>
              <w:spacing w:after="100"/>
              <w:jc w:val="center"/>
            </w:pPr>
            <w:r>
              <w:rPr>
                <w:b/>
                <w:bCs/>
              </w:rPr>
              <w:t>Shares of Common Stock held</w:t>
            </w:r>
          </w:p>
        </w:tc>
        <w:tc>
          <w:tcPr>
            <w:tcW w:w="2250" w:type="pct"/>
            <w:tcBorders>
              <w:top w:val="single" w:sz="4" w:space="0" w:color="000000"/>
              <w:left w:val="single" w:sz="4" w:space="0" w:color="000000"/>
              <w:bottom w:val="single" w:sz="4" w:space="0" w:color="000000"/>
              <w:right w:val="single" w:sz="4" w:space="0" w:color="000000"/>
            </w:tcBorders>
          </w:tcPr>
          <w:p w14:paraId="378D6ECF" w14:textId="77777777" w:rsidR="00A128DD" w:rsidRDefault="00000000">
            <w:pPr>
              <w:spacing w:after="100"/>
              <w:jc w:val="center"/>
            </w:pPr>
            <w:r>
              <w:rPr>
                <w:b/>
                <w:bCs/>
              </w:rPr>
              <w:t>Notice address</w:t>
            </w:r>
          </w:p>
        </w:tc>
      </w:tr>
      <w:tr w:rsidR="00A128DD" w14:paraId="4557832B" w14:textId="77777777">
        <w:tc>
          <w:tcPr>
            <w:tcW w:w="1500" w:type="pct"/>
            <w:tcBorders>
              <w:top w:val="single" w:sz="4" w:space="0" w:color="000000"/>
              <w:left w:val="single" w:sz="4" w:space="0" w:color="000000"/>
              <w:bottom w:val="single" w:sz="4" w:space="0" w:color="000000"/>
              <w:right w:val="single" w:sz="4" w:space="0" w:color="000000"/>
            </w:tcBorders>
          </w:tcPr>
          <w:p w14:paraId="182E68BD" w14:textId="77777777" w:rsidR="00A128DD" w:rsidRDefault="00A128DD">
            <w:pPr>
              <w:spacing w:after="100"/>
            </w:pPr>
          </w:p>
        </w:tc>
        <w:tc>
          <w:tcPr>
            <w:tcW w:w="1250" w:type="pct"/>
            <w:tcBorders>
              <w:top w:val="single" w:sz="4" w:space="0" w:color="000000"/>
              <w:left w:val="single" w:sz="4" w:space="0" w:color="000000"/>
              <w:bottom w:val="single" w:sz="4" w:space="0" w:color="000000"/>
              <w:right w:val="single" w:sz="4" w:space="0" w:color="000000"/>
            </w:tcBorders>
          </w:tcPr>
          <w:p w14:paraId="4774CFA2" w14:textId="77777777" w:rsidR="00A128DD" w:rsidRDefault="00A128DD">
            <w:pPr>
              <w:spacing w:after="100"/>
            </w:pPr>
          </w:p>
        </w:tc>
        <w:tc>
          <w:tcPr>
            <w:tcW w:w="2250" w:type="pct"/>
            <w:tcBorders>
              <w:top w:val="single" w:sz="4" w:space="0" w:color="000000"/>
              <w:left w:val="single" w:sz="4" w:space="0" w:color="000000"/>
              <w:bottom w:val="single" w:sz="4" w:space="0" w:color="000000"/>
              <w:right w:val="single" w:sz="4" w:space="0" w:color="000000"/>
            </w:tcBorders>
          </w:tcPr>
          <w:p w14:paraId="674E63CC" w14:textId="77777777" w:rsidR="00A128DD" w:rsidRDefault="00A128DD">
            <w:pPr>
              <w:spacing w:after="100"/>
            </w:pPr>
          </w:p>
        </w:tc>
      </w:tr>
      <w:tr w:rsidR="00A128DD" w14:paraId="27859CC1" w14:textId="77777777">
        <w:tc>
          <w:tcPr>
            <w:tcW w:w="1500" w:type="pct"/>
            <w:tcBorders>
              <w:top w:val="single" w:sz="4" w:space="0" w:color="000000"/>
              <w:left w:val="single" w:sz="4" w:space="0" w:color="000000"/>
              <w:bottom w:val="single" w:sz="4" w:space="0" w:color="000000"/>
              <w:right w:val="single" w:sz="4" w:space="0" w:color="000000"/>
            </w:tcBorders>
          </w:tcPr>
          <w:p w14:paraId="494FDE57" w14:textId="77777777" w:rsidR="00A128DD" w:rsidRDefault="00A128DD">
            <w:pPr>
              <w:spacing w:after="100"/>
            </w:pPr>
          </w:p>
        </w:tc>
        <w:tc>
          <w:tcPr>
            <w:tcW w:w="1250" w:type="pct"/>
            <w:tcBorders>
              <w:top w:val="single" w:sz="4" w:space="0" w:color="000000"/>
              <w:left w:val="single" w:sz="4" w:space="0" w:color="000000"/>
              <w:bottom w:val="single" w:sz="4" w:space="0" w:color="000000"/>
              <w:right w:val="single" w:sz="4" w:space="0" w:color="000000"/>
            </w:tcBorders>
          </w:tcPr>
          <w:p w14:paraId="181181A8" w14:textId="77777777" w:rsidR="00A128DD" w:rsidRDefault="00A128DD">
            <w:pPr>
              <w:spacing w:after="100"/>
            </w:pPr>
          </w:p>
        </w:tc>
        <w:tc>
          <w:tcPr>
            <w:tcW w:w="2250" w:type="pct"/>
            <w:tcBorders>
              <w:top w:val="single" w:sz="4" w:space="0" w:color="000000"/>
              <w:left w:val="single" w:sz="4" w:space="0" w:color="000000"/>
              <w:bottom w:val="single" w:sz="4" w:space="0" w:color="000000"/>
              <w:right w:val="single" w:sz="4" w:space="0" w:color="000000"/>
            </w:tcBorders>
          </w:tcPr>
          <w:p w14:paraId="72A7B988" w14:textId="77777777" w:rsidR="00A128DD" w:rsidRDefault="00A128DD">
            <w:pPr>
              <w:spacing w:after="100"/>
            </w:pPr>
          </w:p>
        </w:tc>
      </w:tr>
    </w:tbl>
    <w:p w14:paraId="1A2B3C02" w14:textId="1A2B3C02" w:rsidR="00A128DD" w:rsidRDefault="00000000">
      <w:pPr>
        <w:pageBreakBefore/>
        <w:spacing w:after="120"/>
        <w:jc w:val="center"/>
        <w:rPr>
          <w:b/>
          <w:bCs/>
        </w:rPr>
      </w:pPr>
      <w:r>
        <w:rPr>
          <w:b/>
          <w:bCs/>
        </w:rPr>
        <w:lastRenderedPageBreak/>
        <w:t>EXHIBIT C</w:t>
      </w:r>
    </w:p>
    <w:p w14:paraId="1A2B3C03" w14:textId="1A2B3C03" w:rsidR="00A128DD" w:rsidRDefault="00000000">
      <w:pPr>
        <w:spacing w:after="240"/>
        <w:jc w:val="center"/>
        <w:rPr>
          <w:b/>
          <w:bCs/>
        </w:rPr>
      </w:pPr>
      <w:r>
        <w:rPr>
          <w:b/>
          <w:bCs/>
        </w:rPr>
        <w:t>Joinder</w:t>
      </w:r>
    </w:p>
    <w:p w14:paraId="1A2B3C04" w14:textId="1A2B3C04" w:rsidR="00A128DD" w:rsidRDefault="00000000">
      <w:pPr>
        <w:ind w:firstLine="720"/>
        <w:jc w:val="both"/>
      </w:pPr>
      <w:r>
        <w:t xml:space="preserve">By signing below, the undersigned agrees to be bound by the Agreement dated [DATE] among [COMPANY NAME], the Investors listed on </w:t>
      </w:r>
      <w:r>
        <w:rPr>
          <w:u w:val="single"/>
        </w:rPr>
        <w:t>Exhibit A</w:t>
      </w:r>
      <w:r>
        <w:t xml:space="preserve">, and the Key Holders listed on </w:t>
      </w:r>
      <w:r>
        <w:rPr>
          <w:u w:val="single"/>
        </w:rPr>
        <w:t>Exhibit B</w:t>
      </w:r>
      <w:r>
        <w:t>, to the same extent as if the undersigned had signed the Agreement as an [Investor] [Key Holder]. Capitalized terms used and not defined in this Joinder have the meanings given in the Agreement.</w:t>
      </w:r>
    </w:p>
    <w:p w14:paraId="1A2B3C05" w14:textId="1A2B3C05" w:rsidR="00A128DD" w:rsidRDefault="00000000">
      <w:pPr>
        <w:jc w:val="both"/>
      </w:pPr>
      <w:r>
        <w:t>[TRANSFEREE]</w:t>
      </w:r>
    </w:p>
    <w:p w14:paraId="1A2B3C06" w14:textId="1A2B3C06" w:rsidR="00A128DD" w:rsidRDefault="00000000">
      <w:pPr>
        <w:jc w:val="both"/>
      </w:pPr>
      <w:r>
        <w:t>By: _____________________________</w:t>
      </w:r>
    </w:p>
    <w:p w14:paraId="1A2B3C07" w14:textId="1A2B3C07" w:rsidR="00A128DD" w:rsidRDefault="00000000">
      <w:pPr>
        <w:jc w:val="both"/>
      </w:pPr>
      <w:r>
        <w:t>Name: _____________________________</w:t>
      </w:r>
    </w:p>
    <w:p w14:paraId="1A2B3C08" w14:textId="1A2B3C08" w:rsidR="00A128DD" w:rsidRDefault="00000000">
      <w:pPr>
        <w:jc w:val="both"/>
      </w:pPr>
      <w:r>
        <w:t>Title: _____________________________</w:t>
      </w:r>
    </w:p>
    <w:p w14:paraId="1A2B3C09" w14:textId="1A2B3C09" w:rsidR="00A128DD" w:rsidRDefault="00000000">
      <w:pPr>
        <w:jc w:val="both"/>
      </w:pPr>
      <w:r>
        <w:t>Address: _____________________________</w:t>
      </w:r>
    </w:p>
    <w:p w14:paraId="1A2B3C10" w14:textId="1A2B3C10" w:rsidR="00A128DD" w:rsidRDefault="00000000">
      <w:pPr>
        <w:jc w:val="both"/>
      </w:pPr>
      <w:r>
        <w:t>Email: _____________________________</w:t>
      </w:r>
    </w:p>
    <w:p w14:paraId="4BDB65D0" w14:textId="689A22CD" w:rsidR="00A128DD" w:rsidRDefault="00000000">
      <w:pPr>
        <w:pageBreakBefore/>
        <w:spacing w:after="120"/>
        <w:jc w:val="center"/>
      </w:pPr>
      <w:r>
        <w:rPr>
          <w:b/>
          <w:bCs/>
        </w:rPr>
        <w:lastRenderedPageBreak/>
        <w:t>EXHIBIT D</w:t>
      </w:r>
    </w:p>
    <w:p w14:paraId="3ADDC444" w14:textId="74072BF7" w:rsidR="00A128DD" w:rsidRDefault="00000000">
      <w:pPr>
        <w:spacing w:after="240"/>
        <w:jc w:val="center"/>
      </w:pPr>
      <w:r>
        <w:rPr>
          <w:b/>
          <w:bCs/>
        </w:rPr>
        <w:t>Amended and Restated Certificate of Incorporation</w:t>
      </w:r>
    </w:p>
    <w:p w14:paraId="084E5485" w14:textId="7C35F48D" w:rsidR="00A128DD" w:rsidRDefault="00000000">
      <w:pPr>
        <w:pageBreakBefore/>
        <w:spacing w:after="120"/>
        <w:jc w:val="center"/>
      </w:pPr>
      <w:r>
        <w:rPr>
          <w:b/>
          <w:bCs/>
        </w:rPr>
        <w:lastRenderedPageBreak/>
        <w:t>EXHIBIT E</w:t>
      </w:r>
    </w:p>
    <w:p w14:paraId="400D3920" w14:textId="35776B00" w:rsidR="00A128DD" w:rsidRDefault="00425464">
      <w:pPr>
        <w:spacing w:after="240"/>
        <w:jc w:val="center"/>
      </w:pPr>
      <w:r>
        <w:rPr>
          <w:b/>
          <w:bCs/>
        </w:rPr>
        <w:t>Disclosure Schedule</w:t>
      </w:r>
    </w:p>
    <w:p w14:paraId="56554D0D" w14:textId="4906D978" w:rsidR="00A128DD" w:rsidRDefault="00000000">
      <w:pPr>
        <w:ind w:firstLine="720"/>
        <w:jc w:val="both"/>
      </w:pPr>
      <w:r>
        <w:t xml:space="preserve">The exceptions below qualify the Company’s representations in </w:t>
      </w:r>
      <w:r>
        <w:rPr>
          <w:u w:val="single"/>
        </w:rPr>
        <w:t xml:space="preserve">Section </w:t>
      </w:r>
      <w:r>
        <w:rPr>
          <w:u w:val="single"/>
        </w:rPr>
        <w:fldChar w:fldCharType="begin"/>
      </w:r>
      <w:r>
        <w:rPr>
          <w:u w:val="single"/>
        </w:rPr>
        <w:instrText xml:space="preserve"> REF _Ref239585468 \r \h  \* MERGEFORMAT </w:instrText>
      </w:r>
      <w:r>
        <w:rPr>
          <w:u w:val="single"/>
        </w:rPr>
      </w:r>
      <w:r>
        <w:rPr>
          <w:u w:val="single"/>
        </w:rPr>
        <w:fldChar w:fldCharType="separate"/>
      </w:r>
      <w:r w:rsidR="005E349C">
        <w:rPr>
          <w:u w:val="single"/>
        </w:rPr>
        <w:t>6</w:t>
      </w:r>
      <w:r>
        <w:rPr>
          <w:u w:val="single"/>
        </w:rPr>
        <w:fldChar w:fldCharType="end"/>
      </w:r>
      <w:r>
        <w:t xml:space="preserve"> and are part of them. Each exception refers to the Section it qualifies. If this Exhibit E is omitted or left blank, there are no exceptions.</w:t>
      </w:r>
    </w:p>
    <w:p w14:paraId="2179D00E" w14:textId="6D93A7A8" w:rsidR="00A128DD" w:rsidRDefault="00000000">
      <w:pPr>
        <w:pageBreakBefore/>
        <w:spacing w:after="120"/>
        <w:jc w:val="center"/>
      </w:pPr>
      <w:r>
        <w:rPr>
          <w:b/>
          <w:bCs/>
        </w:rPr>
        <w:lastRenderedPageBreak/>
        <w:t>EXHIBIT F</w:t>
      </w:r>
    </w:p>
    <w:p w14:paraId="592F64E1" w14:textId="77777777" w:rsidR="00A128DD" w:rsidRDefault="00000000">
      <w:pPr>
        <w:spacing w:after="240"/>
        <w:jc w:val="center"/>
      </w:pPr>
      <w:r>
        <w:rPr>
          <w:b/>
          <w:bCs/>
        </w:rPr>
        <w:t>Capitalization</w:t>
      </w:r>
    </w:p>
    <w:p w14:paraId="0A3DE3A2" w14:textId="00739205" w:rsidR="00A128DD" w:rsidRDefault="00BD4415">
      <w:pPr>
        <w:ind w:firstLine="720"/>
        <w:jc w:val="both"/>
      </w:pPr>
      <w:r>
        <w:t>List  the Company’s authorized and outstanding capital stock immediately before the Initial Closing, together with every outstanding option, warrant, safe, convertible note and other right to acquire Company securities, every share reserved under the Company’s equity incentive plans, and the vesting terms of every outstanding equity award and share of restricted stock.</w:t>
      </w:r>
    </w:p>
    <w:sectPr w:rsidR="00A128DD">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4EA8CC" w14:textId="77777777" w:rsidR="00325365" w:rsidRDefault="00325365">
      <w:pPr>
        <w:spacing w:after="0"/>
      </w:pPr>
      <w:r>
        <w:separator/>
      </w:r>
    </w:p>
  </w:endnote>
  <w:endnote w:type="continuationSeparator" w:id="0">
    <w:p w14:paraId="5647951E" w14:textId="77777777" w:rsidR="00325365" w:rsidRDefault="0032536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38192077"/>
      <w:docPartObj>
        <w:docPartGallery w:val="Page Numbers (Bottom of Page)"/>
        <w:docPartUnique/>
      </w:docPartObj>
    </w:sdtPr>
    <w:sdtContent>
      <w:p w14:paraId="284EA66F" w14:textId="624963EA" w:rsidR="00110549" w:rsidRDefault="00110549" w:rsidP="00CA01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71388DC" w14:textId="77777777" w:rsidR="00110549" w:rsidRDefault="001105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08082293"/>
      <w:docPartObj>
        <w:docPartGallery w:val="Page Numbers (Bottom of Page)"/>
        <w:docPartUnique/>
      </w:docPartObj>
    </w:sdtPr>
    <w:sdtContent>
      <w:p w14:paraId="758779B4" w14:textId="740EC56A" w:rsidR="00110549" w:rsidRDefault="00110549" w:rsidP="00CA01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1C729E68" w14:textId="77777777" w:rsidR="00110549" w:rsidRDefault="0011054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464C4" w14:textId="6A2E7979" w:rsidR="00A128DD" w:rsidRDefault="00000000">
    <w:pPr>
      <w:spacing w:before="120"/>
      <w:jc w:val="center"/>
    </w:pPr>
    <w:r>
      <w:rPr>
        <w:smallCaps/>
        <w:sz w:val="20"/>
        <w:szCs w:val="20"/>
      </w:rPr>
      <w:t xml:space="preserve">Signature Page to </w:t>
    </w:r>
    <w:r w:rsidR="00AD12F8">
      <w:rPr>
        <w:smallCaps/>
        <w:sz w:val="20"/>
        <w:szCs w:val="20"/>
      </w:rPr>
      <w:t>PROFIT</w:t>
    </w:r>
    <w:r>
      <w:rPr>
        <w:smallCaps/>
        <w:sz w:val="20"/>
        <w:szCs w:val="20"/>
      </w:rPr>
      <w:t xml:space="preserve"> Agreement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EB8656" w14:textId="2C0BE6DF" w:rsidR="00B83227" w:rsidRDefault="00B83227">
    <w:pPr>
      <w:spacing w:before="12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7E6AB5" w14:textId="77777777" w:rsidR="00325365" w:rsidRDefault="00325365">
      <w:pPr>
        <w:spacing w:after="0"/>
      </w:pPr>
      <w:r>
        <w:separator/>
      </w:r>
    </w:p>
  </w:footnote>
  <w:footnote w:type="continuationSeparator" w:id="0">
    <w:p w14:paraId="1D6D300A" w14:textId="77777777" w:rsidR="00325365" w:rsidRDefault="00325365">
      <w:pPr>
        <w:spacing w:after="0"/>
      </w:pPr>
      <w:r>
        <w:continuationSeparator/>
      </w:r>
    </w:p>
  </w:footnote>
  <w:footnote w:id="1">
    <w:p w14:paraId="61F66145" w14:textId="67E13A7C" w:rsidR="00FD1391" w:rsidRDefault="00FD1391">
      <w:pPr>
        <w:pStyle w:val="FootnoteText"/>
      </w:pPr>
      <w:r>
        <w:rPr>
          <w:rStyle w:val="FootnoteReference"/>
        </w:rPr>
        <w:footnoteRef/>
      </w:r>
      <w:r>
        <w:t xml:space="preserve"> NTD: include any shadow series as applicable</w:t>
      </w:r>
    </w:p>
  </w:footnote>
  <w:footnote w:id="2">
    <w:p w14:paraId="5162BA3E" w14:textId="7D79FC9A" w:rsidR="00FD1391" w:rsidRDefault="00FD1391">
      <w:pPr>
        <w:pStyle w:val="FootnoteText"/>
      </w:pPr>
      <w:r>
        <w:rPr>
          <w:rStyle w:val="FootnoteReference"/>
        </w:rPr>
        <w:footnoteRef/>
      </w:r>
      <w:r>
        <w:t xml:space="preserve"> NTD: include any shadow series as applicable.</w:t>
      </w:r>
    </w:p>
  </w:footnote>
  <w:footnote w:id="3">
    <w:p w14:paraId="0F09C909" w14:textId="7E6CAA28" w:rsidR="00FD1391" w:rsidRDefault="00FD1391">
      <w:pPr>
        <w:pStyle w:val="FootnoteText"/>
      </w:pPr>
      <w:r>
        <w:rPr>
          <w:rStyle w:val="FootnoteReference"/>
        </w:rPr>
        <w:footnoteRef/>
      </w:r>
      <w:r>
        <w:t xml:space="preserve"> NTD: include further series as applicable.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76E4C0" w14:textId="67539495" w:rsidR="00AD12F8" w:rsidRDefault="00AD12F8">
    <w:pPr>
      <w:pStyle w:val="Header"/>
    </w:pPr>
    <w:r>
      <w:t>LG Draft 0</w:t>
    </w:r>
    <w:r w:rsidR="009555AB">
      <w:t>9</w:t>
    </w:r>
    <w:r>
      <w:t>.</w:t>
    </w:r>
    <w:r w:rsidR="009555AB">
      <w:t>06</w:t>
    </w:r>
    <w: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1713E68"/>
    <w:multiLevelType w:val="hybridMultilevel"/>
    <w:tmpl w:val="A5CC1446"/>
    <w:lvl w:ilvl="0" w:tplc="20CED064">
      <w:start w:val="1"/>
      <w:numFmt w:val="bullet"/>
      <w:lvlText w:val="●"/>
      <w:lvlJc w:val="left"/>
      <w:pPr>
        <w:ind w:left="720" w:hanging="360"/>
      </w:pPr>
    </w:lvl>
    <w:lvl w:ilvl="1" w:tplc="3A424A5C">
      <w:start w:val="1"/>
      <w:numFmt w:val="bullet"/>
      <w:lvlText w:val="○"/>
      <w:lvlJc w:val="left"/>
      <w:pPr>
        <w:ind w:left="1440" w:hanging="360"/>
      </w:pPr>
    </w:lvl>
    <w:lvl w:ilvl="2" w:tplc="FD8ED20A">
      <w:start w:val="1"/>
      <w:numFmt w:val="bullet"/>
      <w:lvlText w:val="■"/>
      <w:lvlJc w:val="left"/>
      <w:pPr>
        <w:ind w:left="2160" w:hanging="360"/>
      </w:pPr>
    </w:lvl>
    <w:lvl w:ilvl="3" w:tplc="3F28370C">
      <w:start w:val="1"/>
      <w:numFmt w:val="bullet"/>
      <w:lvlText w:val="●"/>
      <w:lvlJc w:val="left"/>
      <w:pPr>
        <w:ind w:left="2880" w:hanging="360"/>
      </w:pPr>
    </w:lvl>
    <w:lvl w:ilvl="4" w:tplc="25D4872A">
      <w:start w:val="1"/>
      <w:numFmt w:val="bullet"/>
      <w:lvlText w:val="○"/>
      <w:lvlJc w:val="left"/>
      <w:pPr>
        <w:ind w:left="3600" w:hanging="360"/>
      </w:pPr>
    </w:lvl>
    <w:lvl w:ilvl="5" w:tplc="C8B2FCA8">
      <w:start w:val="1"/>
      <w:numFmt w:val="bullet"/>
      <w:lvlText w:val="■"/>
      <w:lvlJc w:val="left"/>
      <w:pPr>
        <w:ind w:left="4320" w:hanging="360"/>
      </w:pPr>
    </w:lvl>
    <w:lvl w:ilvl="6" w:tplc="83E0B17C">
      <w:start w:val="1"/>
      <w:numFmt w:val="bullet"/>
      <w:lvlText w:val="●"/>
      <w:lvlJc w:val="left"/>
      <w:pPr>
        <w:ind w:left="5040" w:hanging="360"/>
      </w:pPr>
    </w:lvl>
    <w:lvl w:ilvl="7" w:tplc="667897F8">
      <w:start w:val="1"/>
      <w:numFmt w:val="bullet"/>
      <w:lvlText w:val="●"/>
      <w:lvlJc w:val="left"/>
      <w:pPr>
        <w:ind w:left="5760" w:hanging="360"/>
      </w:pPr>
    </w:lvl>
    <w:lvl w:ilvl="8" w:tplc="9356E898">
      <w:start w:val="1"/>
      <w:numFmt w:val="bullet"/>
      <w:lvlText w:val="●"/>
      <w:lvlJc w:val="left"/>
      <w:pPr>
        <w:ind w:left="6480" w:hanging="360"/>
      </w:pPr>
    </w:lvl>
  </w:abstractNum>
  <w:abstractNum w:abstractNumId="1" w15:restartNumberingAfterBreak="0">
    <w:nsid w:val="530952DB"/>
    <w:multiLevelType w:val="multilevel"/>
    <w:tmpl w:val="9FC4B88E"/>
    <w:lvl w:ilvl="0">
      <w:start w:val="1"/>
      <w:numFmt w:val="decimal"/>
      <w:lvlText w:val="%1."/>
      <w:lvlJc w:val="left"/>
      <w:pPr>
        <w:ind w:left="720" w:hanging="720"/>
      </w:pPr>
      <w:rPr>
        <w:rFonts w:ascii="Times New Roman" w:eastAsia="Times New Roman" w:hAnsi="Times New Roman" w:cs="Times New Roman"/>
        <w:sz w:val="24"/>
        <w:szCs w:val="24"/>
        <w:u w:val="single"/>
      </w:rPr>
    </w:lvl>
    <w:lvl w:ilvl="1">
      <w:start w:val="1"/>
      <w:numFmt w:val="decimal"/>
      <w:lvlText w:val="%1.%2"/>
      <w:lvlJc w:val="left"/>
      <w:pPr>
        <w:ind w:left="0" w:firstLine="720"/>
      </w:pPr>
      <w:rPr>
        <w:rFonts w:ascii="Times New Roman" w:eastAsia="Times New Roman" w:hAnsi="Times New Roman" w:cs="Times New Roman"/>
        <w:sz w:val="24"/>
        <w:szCs w:val="24"/>
      </w:rPr>
    </w:lvl>
    <w:lvl w:ilvl="2">
      <w:start w:val="1"/>
      <w:numFmt w:val="lowerLetter"/>
      <w:lvlText w:val="(%3)"/>
      <w:lvlJc w:val="left"/>
      <w:pPr>
        <w:ind w:left="0" w:firstLine="1440"/>
      </w:pPr>
      <w:rPr>
        <w:rFonts w:ascii="Times New Roman" w:eastAsia="Times New Roman" w:hAnsi="Times New Roman" w:cs="Times New Roman"/>
        <w:sz w:val="24"/>
        <w:szCs w:val="24"/>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20554901">
    <w:abstractNumId w:val="0"/>
    <w:lvlOverride w:ilvl="0">
      <w:startOverride w:val="1"/>
    </w:lvlOverride>
  </w:num>
  <w:num w:numId="2" w16cid:durableId="113934720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8DD"/>
    <w:rsid w:val="00052F42"/>
    <w:rsid w:val="00054ABF"/>
    <w:rsid w:val="00060375"/>
    <w:rsid w:val="000D5F49"/>
    <w:rsid w:val="00110549"/>
    <w:rsid w:val="00133380"/>
    <w:rsid w:val="001577BD"/>
    <w:rsid w:val="001B5FCE"/>
    <w:rsid w:val="001C7E0A"/>
    <w:rsid w:val="00215642"/>
    <w:rsid w:val="0024057E"/>
    <w:rsid w:val="0024070B"/>
    <w:rsid w:val="00280528"/>
    <w:rsid w:val="002907F9"/>
    <w:rsid w:val="002D403E"/>
    <w:rsid w:val="002F020A"/>
    <w:rsid w:val="00325365"/>
    <w:rsid w:val="00361F8F"/>
    <w:rsid w:val="003A2EBA"/>
    <w:rsid w:val="003B161A"/>
    <w:rsid w:val="003C4AE3"/>
    <w:rsid w:val="003C73A8"/>
    <w:rsid w:val="00425464"/>
    <w:rsid w:val="004F4F77"/>
    <w:rsid w:val="00505D5B"/>
    <w:rsid w:val="0054450D"/>
    <w:rsid w:val="0059637D"/>
    <w:rsid w:val="005C2439"/>
    <w:rsid w:val="005C703E"/>
    <w:rsid w:val="005E349C"/>
    <w:rsid w:val="0062796B"/>
    <w:rsid w:val="00643798"/>
    <w:rsid w:val="00644E51"/>
    <w:rsid w:val="00662F45"/>
    <w:rsid w:val="006668C6"/>
    <w:rsid w:val="00672ACC"/>
    <w:rsid w:val="006973D0"/>
    <w:rsid w:val="006976D1"/>
    <w:rsid w:val="006A4E1C"/>
    <w:rsid w:val="006C2F32"/>
    <w:rsid w:val="006F4B04"/>
    <w:rsid w:val="007059B9"/>
    <w:rsid w:val="007857DC"/>
    <w:rsid w:val="0079334A"/>
    <w:rsid w:val="007C12C6"/>
    <w:rsid w:val="00870767"/>
    <w:rsid w:val="008920CB"/>
    <w:rsid w:val="008F538E"/>
    <w:rsid w:val="009555AB"/>
    <w:rsid w:val="009849D2"/>
    <w:rsid w:val="00990622"/>
    <w:rsid w:val="009C0C1B"/>
    <w:rsid w:val="00A01BFC"/>
    <w:rsid w:val="00A128DD"/>
    <w:rsid w:val="00A526B0"/>
    <w:rsid w:val="00A831CC"/>
    <w:rsid w:val="00AB387A"/>
    <w:rsid w:val="00AD12F8"/>
    <w:rsid w:val="00B05084"/>
    <w:rsid w:val="00B26A7B"/>
    <w:rsid w:val="00B4676D"/>
    <w:rsid w:val="00B476C3"/>
    <w:rsid w:val="00B7160B"/>
    <w:rsid w:val="00B83227"/>
    <w:rsid w:val="00BD4415"/>
    <w:rsid w:val="00BD4865"/>
    <w:rsid w:val="00C16770"/>
    <w:rsid w:val="00C47D62"/>
    <w:rsid w:val="00C65F72"/>
    <w:rsid w:val="00C85503"/>
    <w:rsid w:val="00CC1787"/>
    <w:rsid w:val="00CD46F0"/>
    <w:rsid w:val="00CF6B9B"/>
    <w:rsid w:val="00DA7229"/>
    <w:rsid w:val="00E05F97"/>
    <w:rsid w:val="00E43BFE"/>
    <w:rsid w:val="00E606CB"/>
    <w:rsid w:val="00E774A0"/>
    <w:rsid w:val="00EA2482"/>
    <w:rsid w:val="00ED3ABD"/>
    <w:rsid w:val="00EF09D5"/>
    <w:rsid w:val="00F220BC"/>
    <w:rsid w:val="00F83F2D"/>
    <w:rsid w:val="00F87CAA"/>
    <w:rsid w:val="00F90D85"/>
    <w:rsid w:val="00F94593"/>
    <w:rsid w:val="00F947BD"/>
    <w:rsid w:val="00FC0BB7"/>
    <w:rsid w:val="00FC5849"/>
    <w:rsid w:val="00FD1391"/>
    <w:rsid w:val="00FD7B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54165"/>
  <w15:docId w15:val="{985369C0-5EAD-9B45-BA60-A0F9D564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pPr>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1577BD"/>
    <w:rPr>
      <w:color w:val="605E5C"/>
      <w:shd w:val="clear" w:color="auto" w:fill="E1DFDD"/>
    </w:rPr>
  </w:style>
  <w:style w:type="paragraph" w:styleId="Header">
    <w:name w:val="header"/>
    <w:basedOn w:val="Normal"/>
    <w:link w:val="HeaderChar"/>
    <w:uiPriority w:val="99"/>
    <w:unhideWhenUsed/>
    <w:rsid w:val="00AD12F8"/>
    <w:pPr>
      <w:tabs>
        <w:tab w:val="center" w:pos="4680"/>
        <w:tab w:val="right" w:pos="9360"/>
      </w:tabs>
      <w:spacing w:after="0"/>
    </w:pPr>
  </w:style>
  <w:style w:type="character" w:customStyle="1" w:styleId="HeaderChar">
    <w:name w:val="Header Char"/>
    <w:basedOn w:val="DefaultParagraphFont"/>
    <w:link w:val="Header"/>
    <w:uiPriority w:val="99"/>
    <w:rsid w:val="00AD12F8"/>
  </w:style>
  <w:style w:type="paragraph" w:styleId="Footer">
    <w:name w:val="footer"/>
    <w:basedOn w:val="Normal"/>
    <w:link w:val="FooterChar"/>
    <w:uiPriority w:val="99"/>
    <w:unhideWhenUsed/>
    <w:rsid w:val="00AD12F8"/>
    <w:pPr>
      <w:tabs>
        <w:tab w:val="center" w:pos="4680"/>
        <w:tab w:val="right" w:pos="9360"/>
      </w:tabs>
      <w:spacing w:after="0"/>
    </w:pPr>
  </w:style>
  <w:style w:type="character" w:customStyle="1" w:styleId="FooterChar">
    <w:name w:val="Footer Char"/>
    <w:basedOn w:val="DefaultParagraphFont"/>
    <w:link w:val="Footer"/>
    <w:uiPriority w:val="99"/>
    <w:rsid w:val="00AD12F8"/>
  </w:style>
  <w:style w:type="paragraph" w:customStyle="1" w:styleId="p1">
    <w:name w:val="p1"/>
    <w:basedOn w:val="Normal"/>
    <w:rsid w:val="00FD1391"/>
    <w:pPr>
      <w:spacing w:after="0"/>
    </w:pPr>
    <w:rPr>
      <w:color w:val="000000"/>
      <w:sz w:val="17"/>
      <w:szCs w:val="17"/>
    </w:rPr>
  </w:style>
  <w:style w:type="character" w:customStyle="1" w:styleId="s1">
    <w:name w:val="s1"/>
    <w:basedOn w:val="DefaultParagraphFont"/>
    <w:rsid w:val="00FD1391"/>
    <w:rPr>
      <w:rFonts w:ascii="Arial" w:hAnsi="Arial" w:cs="Arial" w:hint="default"/>
      <w:sz w:val="17"/>
      <w:szCs w:val="17"/>
    </w:rPr>
  </w:style>
  <w:style w:type="character" w:styleId="Strong">
    <w:name w:val="Strong"/>
    <w:basedOn w:val="DefaultParagraphFont"/>
    <w:uiPriority w:val="22"/>
    <w:qFormat/>
    <w:rsid w:val="00F87CAA"/>
    <w:rPr>
      <w:b/>
      <w:bCs/>
    </w:rPr>
  </w:style>
  <w:style w:type="character" w:styleId="CommentReference">
    <w:name w:val="annotation reference"/>
    <w:basedOn w:val="DefaultParagraphFont"/>
    <w:uiPriority w:val="99"/>
    <w:semiHidden/>
    <w:unhideWhenUsed/>
    <w:rsid w:val="00643798"/>
    <w:rPr>
      <w:sz w:val="16"/>
      <w:szCs w:val="16"/>
    </w:rPr>
  </w:style>
  <w:style w:type="paragraph" w:styleId="CommentText">
    <w:name w:val="annotation text"/>
    <w:basedOn w:val="Normal"/>
    <w:link w:val="CommentTextChar"/>
    <w:uiPriority w:val="99"/>
    <w:semiHidden/>
    <w:unhideWhenUsed/>
    <w:rsid w:val="00643798"/>
    <w:rPr>
      <w:sz w:val="20"/>
      <w:szCs w:val="20"/>
    </w:rPr>
  </w:style>
  <w:style w:type="character" w:customStyle="1" w:styleId="CommentTextChar">
    <w:name w:val="Comment Text Char"/>
    <w:basedOn w:val="DefaultParagraphFont"/>
    <w:link w:val="CommentText"/>
    <w:uiPriority w:val="99"/>
    <w:semiHidden/>
    <w:rsid w:val="00643798"/>
    <w:rPr>
      <w:sz w:val="20"/>
      <w:szCs w:val="20"/>
    </w:rPr>
  </w:style>
  <w:style w:type="paragraph" w:styleId="CommentSubject">
    <w:name w:val="annotation subject"/>
    <w:basedOn w:val="CommentText"/>
    <w:next w:val="CommentText"/>
    <w:link w:val="CommentSubjectChar"/>
    <w:uiPriority w:val="99"/>
    <w:semiHidden/>
    <w:unhideWhenUsed/>
    <w:rsid w:val="00643798"/>
    <w:rPr>
      <w:b/>
      <w:bCs/>
    </w:rPr>
  </w:style>
  <w:style w:type="character" w:customStyle="1" w:styleId="CommentSubjectChar">
    <w:name w:val="Comment Subject Char"/>
    <w:basedOn w:val="CommentTextChar"/>
    <w:link w:val="CommentSubject"/>
    <w:uiPriority w:val="99"/>
    <w:semiHidden/>
    <w:rsid w:val="00643798"/>
    <w:rPr>
      <w:b/>
      <w:bCs/>
      <w:sz w:val="20"/>
      <w:szCs w:val="20"/>
    </w:rPr>
  </w:style>
  <w:style w:type="character" w:styleId="PageNumber">
    <w:name w:val="page number"/>
    <w:basedOn w:val="DefaultParagraphFont"/>
    <w:uiPriority w:val="99"/>
    <w:semiHidden/>
    <w:unhideWhenUsed/>
    <w:rsid w:val="00110549"/>
  </w:style>
  <w:style w:type="paragraph" w:styleId="Revision">
    <w:name w:val="Revision"/>
    <w:hidden/>
    <w:uiPriority w:val="99"/>
    <w:semiHidden/>
    <w:rsid w:val="002907F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324E60-87D0-2F40-A954-114467B83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265</TotalTime>
  <Pages>21</Pages>
  <Words>6200</Words>
  <Characters>32551</Characters>
  <Application>Microsoft Office Word</Application>
  <DocSecurity>0</DocSecurity>
  <Lines>571</Lines>
  <Paragraphs>214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michael williams</cp:lastModifiedBy>
  <cp:revision>37</cp:revision>
  <cp:lastPrinted>2026-09-06T21:27:00Z</cp:lastPrinted>
  <dcterms:created xsi:type="dcterms:W3CDTF">2026-08-17T21:44:00Z</dcterms:created>
  <dcterms:modified xsi:type="dcterms:W3CDTF">2026-09-06T21:29:00Z</dcterms:modified>
</cp:coreProperties>
</file>